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386962" w14:textId="001BF29D" w:rsidR="004A0394" w:rsidRDefault="00000000">
      <w:pPr>
        <w:pStyle w:val="FirstParagraph"/>
      </w:pPr>
      <w:r>
        <w:rPr>
          <w:b/>
          <w:bCs/>
        </w:rPr>
        <w:t>Translation, Not Exception</w:t>
      </w:r>
      <w:r w:rsidR="003B3D82">
        <w:rPr>
          <w:b/>
          <w:bCs/>
        </w:rPr>
        <w:t xml:space="preserve"> (Part </w:t>
      </w:r>
      <w:r w:rsidR="009231DE">
        <w:rPr>
          <w:b/>
          <w:bCs/>
        </w:rPr>
        <w:t>A</w:t>
      </w:r>
      <w:r w:rsidR="003B3D82">
        <w:rPr>
          <w:b/>
          <w:bCs/>
        </w:rPr>
        <w:t>)</w:t>
      </w:r>
    </w:p>
    <w:p w14:paraId="662FB2B6" w14:textId="2939AD1C" w:rsidR="004A0394" w:rsidRDefault="007049D7">
      <w:pPr>
        <w:pStyle w:val="BodyText"/>
      </w:pPr>
      <w:r>
        <w:rPr>
          <w:i/>
          <w:iCs/>
        </w:rPr>
        <w:t>C</w:t>
      </w:r>
      <w:r w:rsidR="00000000">
        <w:rPr>
          <w:i/>
          <w:iCs/>
        </w:rPr>
        <w:t>reative practice research as scholarly research: a response to the DDCA framework and an invitation to sector discussion</w:t>
      </w:r>
    </w:p>
    <w:p w14:paraId="4EE7CF5A" w14:textId="77777777" w:rsidR="004A0394" w:rsidRDefault="00000000">
      <w:pPr>
        <w:pStyle w:val="BodyText"/>
      </w:pPr>
      <w:r>
        <w:rPr>
          <w:b/>
          <w:bCs/>
        </w:rPr>
        <w:t>Dr Sanné Mestrom</w:t>
      </w:r>
    </w:p>
    <w:p w14:paraId="2E0A845E" w14:textId="77777777" w:rsidR="004A0394" w:rsidRDefault="00000000">
      <w:pPr>
        <w:pStyle w:val="BodyText"/>
      </w:pPr>
      <w:r>
        <w:t>Senior Lecturer and Research Director, Sydney College of the Arts</w:t>
      </w:r>
    </w:p>
    <w:p w14:paraId="6484C75D" w14:textId="77777777" w:rsidR="004A0394" w:rsidRDefault="00000000">
      <w:pPr>
        <w:pStyle w:val="BodyText"/>
      </w:pPr>
      <w:r>
        <w:t>FASS Research Advisor, School of Art, Communication and English</w:t>
      </w:r>
    </w:p>
    <w:p w14:paraId="54E123FC" w14:textId="77777777" w:rsidR="004A0394" w:rsidRDefault="00000000">
      <w:pPr>
        <w:pStyle w:val="BodyText"/>
      </w:pPr>
      <w:r>
        <w:t>Faculty of Arts and Social Sciences, The University of Sydney</w:t>
      </w:r>
    </w:p>
    <w:p w14:paraId="788AAA15" w14:textId="77777777" w:rsidR="004A0394" w:rsidRDefault="00000000">
      <w:pPr>
        <w:pStyle w:val="Heading1"/>
      </w:pPr>
      <w:bookmarkStart w:id="0" w:name="abstract"/>
      <w:r>
        <w:t>Abstract</w:t>
      </w:r>
    </w:p>
    <w:p w14:paraId="532992EB" w14:textId="77777777" w:rsidR="0087005F" w:rsidRDefault="00000000">
      <w:pPr>
        <w:pStyle w:val="FirstParagraph"/>
      </w:pPr>
      <w:r>
        <w:t xml:space="preserve">In February 2026 the Australian Council of Deans and Directors of Creative Arts (DDCA) published a sector-wide framework for evaluating creative practice research, marking the most comprehensive national attempt to address how this work is assessed in Australian universities (Glisovic and Batty, 2026). The framework argues for discipline-specific instruments that distinguish creative practice research from other research traditions. This paper is written in my own capacity, as Research Director at Sydney College of the Arts and Faculty Research Advisor at the University of Sydney, and argues for a different strategy. Where the DDCA argues for </w:t>
      </w:r>
      <w:r w:rsidR="00B92702">
        <w:rPr>
          <w:i/>
          <w:iCs/>
        </w:rPr>
        <w:t>exception</w:t>
      </w:r>
      <w:r>
        <w:t xml:space="preserve">, I argue for </w:t>
      </w:r>
      <w:r>
        <w:rPr>
          <w:i/>
          <w:iCs/>
        </w:rPr>
        <w:t>translation</w:t>
      </w:r>
      <w:r>
        <w:t xml:space="preserve">. </w:t>
      </w:r>
    </w:p>
    <w:p w14:paraId="1A543A79" w14:textId="77777777" w:rsidR="00347A88" w:rsidRDefault="00000000">
      <w:pPr>
        <w:pStyle w:val="FirstParagraph"/>
      </w:pPr>
      <w:r>
        <w:t>Creative practice research already meets the same scholarly standards as the rest of the humanities and social sciences, by its own means</w:t>
      </w:r>
      <w:r w:rsidR="0087005F">
        <w:t>, namely, c</w:t>
      </w:r>
      <w:r>
        <w:t>uratorial selection performs the function of peer review</w:t>
      </w:r>
      <w:r w:rsidR="0087005F">
        <w:t>, a</w:t>
      </w:r>
      <w:r>
        <w:t>cquisition by a major collecting institution performs the function of institutional impact assessment</w:t>
      </w:r>
      <w:r w:rsidR="0087005F">
        <w:t>, t</w:t>
      </w:r>
      <w:r>
        <w:t xml:space="preserve">he citation network already exists in catalogue essays, critical writing, artist monographs and subsequent artworks. What has been missing is the </w:t>
      </w:r>
      <w:r>
        <w:rPr>
          <w:i/>
          <w:iCs/>
        </w:rPr>
        <w:t>translation labour</w:t>
      </w:r>
      <w:r>
        <w:t xml:space="preserve"> that makes these equivalences legible in terms the university can already read. </w:t>
      </w:r>
    </w:p>
    <w:p w14:paraId="7AABDC4A" w14:textId="0F50658B" w:rsidR="004A0394" w:rsidRDefault="00000000">
      <w:pPr>
        <w:pStyle w:val="FirstParagraph"/>
      </w:pPr>
      <w:r>
        <w:t xml:space="preserve">The paper argues that the thirty-year position that creative practice research is fundamentally </w:t>
      </w:r>
      <w:r>
        <w:rPr>
          <w:i/>
          <w:iCs/>
        </w:rPr>
        <w:t>different</w:t>
      </w:r>
      <w:r>
        <w:t xml:space="preserve"> from other research traditions, while historically defensible, has become a structural impediment to the field’s recognition and resourcing. It traces how this position came to be commonly accepted, documents the institutional and internal costs it has imposed, sets out what is at stake if the position is not now re-examined, and proposes </w:t>
      </w:r>
      <w:r>
        <w:rPr>
          <w:i/>
          <w:iCs/>
        </w:rPr>
        <w:t>translation</w:t>
      </w:r>
      <w:r>
        <w:t xml:space="preserve"> rather than </w:t>
      </w:r>
      <w:r>
        <w:rPr>
          <w:i/>
          <w:iCs/>
        </w:rPr>
        <w:t>exception</w:t>
      </w:r>
      <w:r>
        <w:t xml:space="preserve"> as the productive way forward. McKee’s (2020) finding that thirty experienced NTRO assessors reach consensus on only four of nineteen possible criteria, and that the four agreed criteria are themselves </w:t>
      </w:r>
      <w:r w:rsidRPr="00347A88">
        <w:rPr>
          <w:i/>
          <w:iCs/>
        </w:rPr>
        <w:t>translation</w:t>
      </w:r>
      <w:r>
        <w:t xml:space="preserve"> criteria, is read here as direct evidence for that proposal. The paper is offered as an invitation to sector discussion rather than as a finished position.</w:t>
      </w:r>
    </w:p>
    <w:p w14:paraId="2E2EFC0B" w14:textId="77777777" w:rsidR="004A0394" w:rsidRDefault="00000000">
      <w:pPr>
        <w:pStyle w:val="BodyText"/>
      </w:pPr>
      <w:r>
        <w:rPr>
          <w:b/>
          <w:bCs/>
        </w:rPr>
        <w:t xml:space="preserve">Keywords: </w:t>
      </w:r>
      <w:r>
        <w:t>creative practice research; NTRO evaluation; scholarly equivalence; DDCA framework; research assessment; visual arts research.</w:t>
      </w:r>
    </w:p>
    <w:p w14:paraId="5B8800E5" w14:textId="77777777" w:rsidR="004A0394" w:rsidRDefault="00000000">
      <w:pPr>
        <w:pStyle w:val="Heading1"/>
      </w:pPr>
      <w:bookmarkStart w:id="1" w:name="introduction"/>
      <w:bookmarkEnd w:id="0"/>
      <w:r>
        <w:t>1. Introduction</w:t>
      </w:r>
    </w:p>
    <w:p w14:paraId="0B97354D" w14:textId="77777777" w:rsidR="004A0394" w:rsidRDefault="00000000">
      <w:pPr>
        <w:pStyle w:val="FirstParagraph"/>
      </w:pPr>
      <w:r>
        <w:t xml:space="preserve">The publication of Glisovic and Batty (2026) marks an important moment for creative practice research in Australia. The DDCA framework synthesises three decades of sector </w:t>
      </w:r>
      <w:r>
        <w:lastRenderedPageBreak/>
        <w:t>work and offers seven sector-endorsed recommendations for evaluating creative practice research. Its commitment to representing the field at government and institutional levels, to articulating discipline-specific assessment criteria, and to insisting on the rigour and value of creative practice research is substantial, and the intellectual labour behind it is considerable. As an industry colleague and Faculty Research Advisor at the University of Sydney, working across research methods, outcomes, impact and income (Cat 1, 2 and 3), I have reviewed the framework and broadly support its direction.</w:t>
      </w:r>
    </w:p>
    <w:p w14:paraId="42E471DC" w14:textId="77777777" w:rsidR="004A0394" w:rsidRDefault="00000000">
      <w:pPr>
        <w:pStyle w:val="BodyText"/>
      </w:pPr>
      <w:r>
        <w:t xml:space="preserve">I have also, however, reached a divergent strategic conclusion, and this paper develops it. Where Glisovic and Batty argue for discipline-specific instruments that distinguish creative practice research from other research, I argue for </w:t>
      </w:r>
      <w:r w:rsidRPr="00E04D9E">
        <w:rPr>
          <w:i/>
          <w:iCs/>
        </w:rPr>
        <w:t>translation</w:t>
      </w:r>
      <w:r>
        <w:t>. The claim is that creative practice research does not require new evaluation frameworks to be invented. It requires the scholarly framework the university already holds, the framework that recognises and assesses research across its methods, outcomes, impact and income, to be applied to creative practice outputs through the appropriate translation labour. The framework itself is broader than the evaluation layer alone; it also includes the institutional definitions of what research is, the apparatus that resources research, and the federal reporting infrastructure that counts it. Section 4 returns to this fuller picture. For the present argument, what matters is that the evaluation layer of the framework, the part that asks the institution’s quality questions of any research contribution, already operates on creative practice outputs in everyday institutional life. Curatorial selection at a recognised institution performs the function of peer review. Acquisition by a major public collection performs the function of institutional impact assessment, with conservation and ongoing institutional commitment as the binding form. Catalogue essays, critical writing, artist monographs and subsequent artworks together constitute a citation network. The infrastructure already exists. What has been missing is the translation labour.</w:t>
      </w:r>
    </w:p>
    <w:p w14:paraId="50F0E92D" w14:textId="4B582788" w:rsidR="004A0394" w:rsidRDefault="00000000">
      <w:pPr>
        <w:pStyle w:val="BodyText"/>
      </w:pPr>
      <w:r>
        <w:t xml:space="preserve">Two terminology questions arise before the argument can be made cleanly. The first is what to call the field. Several terms are in use: “creative practice research,” “practice-led research,” “artistic research,” “practice as research,” “research-creation” in Canada. These are not five different things. They are five terms for an overlapping conversation, used differently in different national and institutional traditions. This paper uses “creative practice research” as its primary term, following both Glisovic and Batty (2026) and the prevailing Australian sector usage. It uses “practice-led research” only when engaging with Sullivan (2009) and the lineage that uses that term specifically. “Artistic research” appears only when referring to the European Journal for Artistic Research tradition. None of these terms is being treated as a different concept; the same activity is being named in the registers that the literature uses for it, a congruence Glisovic and Batty (2026, p. 4–6) and Sullivan (2009) both establish directly. </w:t>
      </w:r>
      <w:r w:rsidRPr="00CD1A8B">
        <w:rPr>
          <w:highlight w:val="yellow"/>
        </w:rPr>
        <w:t>The DDCA umbrella, and the umbrella used here, includes visual arts and design, architecture and the built-environment fields (including interior architecture and landscape architecture), music, performance and theatre, screen production, creative writing, and curatorial practice.</w:t>
      </w:r>
      <w:r>
        <w:t xml:space="preserve"> The four disciplinary peak bodies aligned with the DDCA (ACUADS, ASPERA, AAWP and IDEA) cover most of this terrain. A non-arts reader who assumes creative practice research means visual arts alone should adjust the assumption: the argument made here applies across the umbrella, with disciplinary specifics that will need to be worked out within each peak body.</w:t>
      </w:r>
    </w:p>
    <w:p w14:paraId="0A496E8A" w14:textId="6F02D737" w:rsidR="00CD1A8B" w:rsidRDefault="00000000">
      <w:pPr>
        <w:pStyle w:val="BodyText"/>
      </w:pPr>
      <w:r>
        <w:lastRenderedPageBreak/>
        <w:t>The second terminology question is what kind of thing is being discussed</w:t>
      </w:r>
      <w:r w:rsidR="00C249FC">
        <w:t>:</w:t>
      </w:r>
      <w:r>
        <w:t xml:space="preserve"> </w:t>
      </w:r>
      <w:r w:rsidR="00C249FC">
        <w:t>t</w:t>
      </w:r>
      <w:r>
        <w:t xml:space="preserve">he paper distinguishes four things that often run together in conversations about NTROs and which it is essential to keep apart. </w:t>
      </w:r>
    </w:p>
    <w:p w14:paraId="13C7C696" w14:textId="77777777" w:rsidR="00CD1A8B" w:rsidRDefault="00000000" w:rsidP="00CD1A8B">
      <w:pPr>
        <w:pStyle w:val="BodyText"/>
        <w:numPr>
          <w:ilvl w:val="0"/>
          <w:numId w:val="30"/>
        </w:numPr>
      </w:pPr>
      <w:r>
        <w:rPr>
          <w:b/>
          <w:bCs/>
        </w:rPr>
        <w:t>Research methods</w:t>
      </w:r>
      <w:r>
        <w:t xml:space="preserve"> are how the work is done: what happens in the studio, the propositional and material processes of inquiry. </w:t>
      </w:r>
    </w:p>
    <w:p w14:paraId="72D47B0B" w14:textId="77777777" w:rsidR="00CD1A8B" w:rsidRDefault="00000000" w:rsidP="00CD1A8B">
      <w:pPr>
        <w:pStyle w:val="BodyText"/>
        <w:numPr>
          <w:ilvl w:val="0"/>
          <w:numId w:val="30"/>
        </w:numPr>
      </w:pPr>
      <w:r>
        <w:rPr>
          <w:b/>
          <w:bCs/>
        </w:rPr>
        <w:t>Research outcomes</w:t>
      </w:r>
      <w:r>
        <w:t xml:space="preserve"> are what the work produces: the artworks, exhibitions, catalogues, the artefacts that carry the research claim. </w:t>
      </w:r>
    </w:p>
    <w:p w14:paraId="64F40235" w14:textId="77777777" w:rsidR="00CD1A8B" w:rsidRDefault="00000000" w:rsidP="00CD1A8B">
      <w:pPr>
        <w:pStyle w:val="BodyText"/>
        <w:numPr>
          <w:ilvl w:val="0"/>
          <w:numId w:val="30"/>
        </w:numPr>
      </w:pPr>
      <w:r>
        <w:rPr>
          <w:b/>
          <w:bCs/>
        </w:rPr>
        <w:t>Research impact</w:t>
      </w:r>
      <w:r>
        <w:t xml:space="preserve"> is what the work does in the world: cultural resonance, influence on practice, public reach. </w:t>
      </w:r>
    </w:p>
    <w:p w14:paraId="7955696F" w14:textId="496CCC9E" w:rsidR="00CD1A8B" w:rsidRDefault="00000000" w:rsidP="00941BA1">
      <w:pPr>
        <w:pStyle w:val="BodyText"/>
        <w:numPr>
          <w:ilvl w:val="0"/>
          <w:numId w:val="30"/>
        </w:numPr>
      </w:pPr>
      <w:r>
        <w:rPr>
          <w:b/>
          <w:bCs/>
        </w:rPr>
        <w:t>Research income</w:t>
      </w:r>
      <w:r>
        <w:t xml:space="preserve"> is what the work attracts: grants, commissions, competitive funding, the dollar measure the institution uses for resourcing. </w:t>
      </w:r>
    </w:p>
    <w:p w14:paraId="452E3E89" w14:textId="21C76409" w:rsidR="004A0394" w:rsidRDefault="00000000" w:rsidP="00CD1A8B">
      <w:pPr>
        <w:pStyle w:val="BodyText"/>
      </w:pPr>
      <w:r>
        <w:t xml:space="preserve">These four are very different things. They are produced at different stages, assessed against different criteria, and answer different questions. Confusing them is the source of much of the difficulty in the existing literature: an argument about </w:t>
      </w:r>
      <w:r>
        <w:rPr>
          <w:i/>
          <w:iCs/>
        </w:rPr>
        <w:t>methods</w:t>
      </w:r>
      <w:r>
        <w:t xml:space="preserve"> is treated as if it were an argument about </w:t>
      </w:r>
      <w:r>
        <w:rPr>
          <w:i/>
          <w:iCs/>
        </w:rPr>
        <w:t>outputs</w:t>
      </w:r>
      <w:r>
        <w:t xml:space="preserve">, or a critique of </w:t>
      </w:r>
      <w:r>
        <w:rPr>
          <w:i/>
          <w:iCs/>
        </w:rPr>
        <w:t>impact measurement</w:t>
      </w:r>
      <w:r>
        <w:t xml:space="preserve"> is mistaken for a defence of the work itself</w:t>
      </w:r>
      <w:r w:rsidRPr="00173289">
        <w:rPr>
          <w:highlight w:val="yellow"/>
        </w:rPr>
        <w:t xml:space="preserve">. The argument of this paper operates on </w:t>
      </w:r>
      <w:r w:rsidRPr="00173289">
        <w:rPr>
          <w:i/>
          <w:iCs/>
          <w:highlight w:val="yellow"/>
        </w:rPr>
        <w:t xml:space="preserve">outcomes </w:t>
      </w:r>
      <w:r w:rsidRPr="00BB60EA">
        <w:rPr>
          <w:highlight w:val="yellow"/>
        </w:rPr>
        <w:t>and</w:t>
      </w:r>
      <w:r w:rsidRPr="00173289">
        <w:rPr>
          <w:i/>
          <w:iCs/>
          <w:highlight w:val="yellow"/>
        </w:rPr>
        <w:t xml:space="preserve"> on how those outcomes are read</w:t>
      </w:r>
      <w:r w:rsidRPr="00173289">
        <w:rPr>
          <w:highlight w:val="yellow"/>
        </w:rPr>
        <w:t>, with implications for impact and income that follow. It also makes a structural claim about methods, namely that what happens in the studio is cognate with empirical inquiry in any discipline.</w:t>
      </w:r>
      <w:r>
        <w:t xml:space="preserve"> Where the argument touches each register, I will say so explicitly.</w:t>
      </w:r>
    </w:p>
    <w:p w14:paraId="746B2E1C" w14:textId="6B7F74D2" w:rsidR="00F75F66" w:rsidRDefault="00000000">
      <w:pPr>
        <w:pStyle w:val="BodyText"/>
      </w:pPr>
      <w:r>
        <w:t>One clarification about how the four registers relate to evaluation</w:t>
      </w:r>
      <w:r w:rsidR="00650ABA">
        <w:t xml:space="preserve"> is that t</w:t>
      </w:r>
      <w:r>
        <w:rPr>
          <w:b/>
          <w:bCs/>
        </w:rPr>
        <w:t>he registers are not, themselves, evaluation criteria.</w:t>
      </w:r>
      <w:r>
        <w:t xml:space="preserve"> They are </w:t>
      </w:r>
      <w:r w:rsidRPr="00650ABA">
        <w:t>dimensions of</w:t>
      </w:r>
      <w:r>
        <w:rPr>
          <w:i/>
          <w:iCs/>
        </w:rPr>
        <w:t xml:space="preserve"> what research is.</w:t>
      </w:r>
      <w:r>
        <w:t xml:space="preserve"> Quality assessment operates across them, as a separate layer of the apparatus. The institution asks the same family of internal quality questions of each register (is the inquiry systematic, is the contribution substantive, is the reach national or international, is the funding competitive and peer-assessed) and the institutional academic-evaluation framework (the A</w:t>
      </w:r>
      <w:r w:rsidR="00173289">
        <w:t>cademic Excellence Framework -A</w:t>
      </w:r>
      <w:r>
        <w:t>EF</w:t>
      </w:r>
      <w:proofErr w:type="gramStart"/>
      <w:r w:rsidR="00173289">
        <w:t xml:space="preserve">- </w:t>
      </w:r>
      <w:r>
        <w:t xml:space="preserve"> in</w:t>
      </w:r>
      <w:proofErr w:type="gramEnd"/>
      <w:r>
        <w:t xml:space="preserve"> the </w:t>
      </w:r>
      <w:r w:rsidR="00A33246">
        <w:t xml:space="preserve">University of </w:t>
      </w:r>
      <w:r>
        <w:t xml:space="preserve">Sydney instance) encodes those questions for the institution as a whole. The AEF's quality questions and HERDC's Frascati criteria are not rival definitions of research; they trace to the same root, the ARC's own definition of research (Australian Research Council, 2018; the same definition used for ERA), which HERDC's five criteria simply </w:t>
      </w:r>
      <w:r w:rsidR="003F524D">
        <w:t>unpack</w:t>
      </w:r>
      <w:r>
        <w:t xml:space="preserve"> into a discrete, checkable test. What differs is the administrative job each version is doing. HERDC's version exists to determine, once, whether an output counts as research at all, for federal income and output counting. The </w:t>
      </w:r>
      <w:r w:rsidR="003F524D">
        <w:t xml:space="preserve">University’s internal apparatus (the </w:t>
      </w:r>
      <w:r>
        <w:t>AEF</w:t>
      </w:r>
      <w:r w:rsidR="003F524D">
        <w:t>)</w:t>
      </w:r>
      <w:r>
        <w:t xml:space="preserve"> exists to ask, of something already established as research, how good and how significant it is, for institutional promotion and performance purposes. Section 4 sets out the federal test in full and shows how the two levels relate. Every research-intensive Australian university holds an equivalent framework to the AEF under its own name (UNSW's ACF, ANU's APP, Melbourne's APF), similar in spirit because all are answering to the same ARC/ERA root definition, but not identical to Sydney's or to each other. </w:t>
      </w:r>
      <w:proofErr w:type="gramStart"/>
      <w:r>
        <w:t>So</w:t>
      </w:r>
      <w:proofErr w:type="gramEnd"/>
      <w:r>
        <w:t xml:space="preserve"> the architecture has three layers, not two. </w:t>
      </w:r>
    </w:p>
    <w:p w14:paraId="41BCBC71" w14:textId="77777777" w:rsidR="00F75F66" w:rsidRDefault="00000000" w:rsidP="00F75F66">
      <w:pPr>
        <w:pStyle w:val="BodyText"/>
        <w:numPr>
          <w:ilvl w:val="0"/>
          <w:numId w:val="30"/>
        </w:numPr>
      </w:pPr>
      <w:r>
        <w:rPr>
          <w:b/>
          <w:bCs/>
        </w:rPr>
        <w:t>Registers</w:t>
      </w:r>
      <w:r>
        <w:t xml:space="preserve"> are </w:t>
      </w:r>
      <w:r>
        <w:rPr>
          <w:i/>
          <w:iCs/>
        </w:rPr>
        <w:t>what research is</w:t>
      </w:r>
      <w:r>
        <w:t xml:space="preserve">, in the sense Glisovic and Batty's own recommendations also gesture toward without separating as sharply: their concern with the research statement and with size and scale is a concern with methods and outcomes; their concern with peer definition and representation is </w:t>
      </w:r>
      <w:r>
        <w:lastRenderedPageBreak/>
        <w:t xml:space="preserve">a concern with impact; questions of Category 1, 2 and 3 funding sit in the income register. </w:t>
      </w:r>
    </w:p>
    <w:p w14:paraId="18D47EB1" w14:textId="77777777" w:rsidR="00F75F66" w:rsidRDefault="00000000" w:rsidP="00F75F66">
      <w:pPr>
        <w:pStyle w:val="BodyText"/>
        <w:numPr>
          <w:ilvl w:val="0"/>
          <w:numId w:val="30"/>
        </w:numPr>
      </w:pPr>
      <w:r>
        <w:rPr>
          <w:b/>
          <w:bCs/>
        </w:rPr>
        <w:t>Evidence</w:t>
      </w:r>
      <w:r>
        <w:t xml:space="preserve"> is what shows the registers are present and substantive: the artefacts, documents, selections, acquisitions and citations the NTRO Evidence Template, developed with the FASS NTRO Working Group, organises. </w:t>
      </w:r>
    </w:p>
    <w:p w14:paraId="2F863265" w14:textId="77777777" w:rsidR="00F75F66" w:rsidRDefault="00000000" w:rsidP="00F75F66">
      <w:pPr>
        <w:pStyle w:val="BodyText"/>
        <w:numPr>
          <w:ilvl w:val="0"/>
          <w:numId w:val="30"/>
        </w:numPr>
      </w:pPr>
      <w:r>
        <w:rPr>
          <w:b/>
          <w:bCs/>
        </w:rPr>
        <w:t>Quality</w:t>
      </w:r>
      <w:r>
        <w:t xml:space="preserve"> questions are what the institution asks of the evidence, against the criteria the institutional framework already holds. </w:t>
      </w:r>
    </w:p>
    <w:p w14:paraId="1A21E9C9" w14:textId="2B0D125D" w:rsidR="004A0394" w:rsidRDefault="00000000" w:rsidP="00F75F66">
      <w:pPr>
        <w:pStyle w:val="BodyText"/>
      </w:pPr>
      <w:r>
        <w:rPr>
          <w:b/>
          <w:bCs/>
        </w:rPr>
        <w:t>Registers, evidence, quality questions</w:t>
      </w:r>
      <w:r>
        <w:t>: three layers, kept distinct. Conflating them is one of the things the discipline-specific project has historically done, and one of the structural reasons it has had trouble reaching the consensus McKee (2020) documents. Section 4 returns to this architecture in more detail; Section 6 returns to its implications for the McKee data.</w:t>
      </w:r>
    </w:p>
    <w:p w14:paraId="22127998" w14:textId="77777777" w:rsidR="004A0394" w:rsidRDefault="00000000">
      <w:pPr>
        <w:pStyle w:val="BodyText"/>
      </w:pPr>
      <w:r>
        <w:t xml:space="preserve">This paper develops the case for </w:t>
      </w:r>
      <w:r>
        <w:rPr>
          <w:i/>
          <w:iCs/>
        </w:rPr>
        <w:t>translation</w:t>
      </w:r>
      <w:r>
        <w:t xml:space="preserve"> against the case for </w:t>
      </w:r>
      <w:r>
        <w:rPr>
          <w:i/>
          <w:iCs/>
        </w:rPr>
        <w:t>exception</w:t>
      </w:r>
      <w:r>
        <w:t xml:space="preserve">. The two positions share a great deal. Both insist on the scholarly seriousness of creative practice research. Both refuse STEM-shaped metrics applied without discrimination. Both reject the deficit framing implicit in the “non-traditional” label. Both seek institutional conditions in which the work can flourish. They diverge on </w:t>
      </w:r>
      <w:r>
        <w:rPr>
          <w:i/>
          <w:iCs/>
        </w:rPr>
        <w:t>strategy</w:t>
      </w:r>
      <w:r>
        <w:t xml:space="preserve">. The strategic question is whether the field should continue to argue that it is fundamentally </w:t>
      </w:r>
      <w:r>
        <w:rPr>
          <w:i/>
          <w:iCs/>
        </w:rPr>
        <w:t>different</w:t>
      </w:r>
      <w:r>
        <w:t xml:space="preserve"> from other research traditions and therefore requires distinct evaluation instruments, or whether the field should now argue that it is fundamentally </w:t>
      </w:r>
      <w:r>
        <w:rPr>
          <w:i/>
          <w:iCs/>
        </w:rPr>
        <w:t>similar</w:t>
      </w:r>
      <w:r>
        <w:t xml:space="preserve"> to other research traditions in its scholarly operations and that the appropriate work is translation.</w:t>
      </w:r>
    </w:p>
    <w:p w14:paraId="39CF9130" w14:textId="77777777" w:rsidR="004A0394" w:rsidRDefault="00000000">
      <w:pPr>
        <w:pStyle w:val="BodyText"/>
      </w:pPr>
      <w:r>
        <w:t xml:space="preserve">I argue for the second position. The structure of the paper is as follows. </w:t>
      </w:r>
      <w:r>
        <w:rPr>
          <w:b/>
          <w:bCs/>
        </w:rPr>
        <w:t>Section 2</w:t>
      </w:r>
      <w:r>
        <w:t xml:space="preserve"> traces how the “difference” position became orthodoxy, situating it historically rather than treating it as a natural starting point. </w:t>
      </w:r>
      <w:r>
        <w:rPr>
          <w:b/>
          <w:bCs/>
        </w:rPr>
        <w:t>Section 3</w:t>
      </w:r>
      <w:r>
        <w:t xml:space="preserve"> documents the institutional and internal costs the position has imposed, and sets out what is at stake if it is not now re-examined. </w:t>
      </w:r>
      <w:r>
        <w:rPr>
          <w:b/>
          <w:bCs/>
        </w:rPr>
        <w:t>Section 4</w:t>
      </w:r>
      <w:r>
        <w:t xml:space="preserve"> develops the case for structural equivalence and grounds it in worked examples, including a peer-reviewed Sydney case (Toltz’s 2014 production of Brundibár, documented in Barwick and Toltz 2017) where the equivalence machinery has been shown to operate in practice. </w:t>
      </w:r>
      <w:r>
        <w:rPr>
          <w:b/>
          <w:bCs/>
        </w:rPr>
        <w:t>Section 5</w:t>
      </w:r>
      <w:r>
        <w:t xml:space="preserve"> discusses translation as method, draws on the NTRO Evidence Template developed by the FASS NTRO Working Group, and reckons with Sullivan’s (2009) critique of equivalence as a strategy. </w:t>
      </w:r>
      <w:r>
        <w:rPr>
          <w:b/>
          <w:bCs/>
        </w:rPr>
        <w:t>Section 6</w:t>
      </w:r>
      <w:r>
        <w:t xml:space="preserve"> engages directly with Glisovic and Batty (2026), reads McKee’s (2020) findings against their conclusions, and returns to Sullivan as the field’s longest-standing predecessor. </w:t>
      </w:r>
      <w:r>
        <w:rPr>
          <w:b/>
          <w:bCs/>
        </w:rPr>
        <w:t>Section 7</w:t>
      </w:r>
      <w:r>
        <w:t xml:space="preserve"> offers the paper as an invitation. An appendix sets out, with responses, the principal objections the argument must answer; a second appendix presents the full McKee data in support of Section 6; a third reproduces the NTRO Evidence Template in full; and two further appendices ground the whole argument in operational practice: a case study of the assessment process built on this position at Sydney College of the Arts, and a single worked assessment of a modest, honestly-read output.</w:t>
      </w:r>
    </w:p>
    <w:p w14:paraId="6B01B786" w14:textId="77777777" w:rsidR="004A0394" w:rsidRDefault="00000000">
      <w:pPr>
        <w:pStyle w:val="Heading1"/>
      </w:pPr>
      <w:bookmarkStart w:id="2" w:name="Xb9e66631ac3244e194d815cf751f56aa3a231cc"/>
      <w:bookmarkEnd w:id="1"/>
      <w:r>
        <w:t>2. The inheritance: how “we are different” became orthodoxy</w:t>
      </w:r>
    </w:p>
    <w:p w14:paraId="3BEA8EC2" w14:textId="77777777" w:rsidR="004A0394" w:rsidRDefault="00000000">
      <w:pPr>
        <w:pStyle w:val="FirstParagraph"/>
      </w:pPr>
      <w:r>
        <w:t>The position that creative practice research is fundamentally different from other research traditions did not arise organically from within the field. It arose from a specific institutional moment, and it has been inherited as orthodoxy ever since.</w:t>
      </w:r>
    </w:p>
    <w:p w14:paraId="307384B7" w14:textId="77777777" w:rsidR="004A0394" w:rsidRDefault="00000000">
      <w:pPr>
        <w:pStyle w:val="BodyText"/>
      </w:pPr>
      <w:r>
        <w:lastRenderedPageBreak/>
        <w:t>In the 1990s, Australian art schools were folded into universities at speed and largely without professional consent. Glisovic and Batty (2026) describe the process accurately: art school educators “overnight became university educators and by extension inherited the research obligations that come with university positions” (p. 12). The institutional move preceded the methodological and epistemological apparatus that would later be developed to make sense of it. Practitioners who had been working as artists in tertiary art schools were now expected to be researchers, with research outputs, in an institutional setting that had no settled understanding of what those outputs would be.</w:t>
      </w:r>
    </w:p>
    <w:p w14:paraId="5AB72AF5" w14:textId="77777777" w:rsidR="004A0394" w:rsidRDefault="00000000">
      <w:pPr>
        <w:pStyle w:val="BodyText"/>
      </w:pPr>
      <w:r>
        <w:t>The defensive argument that emerged was, in its moment, a necessary protection. If creative practice were to be measured by metrics designed for STEM research (citation counts, journal rankings, hypothesis-test-publish cycles) the field would have been rendered invisible by definition. Early advocates argued that creative practice research was a distinct mode of inquiry requiring distinct evaluation criteria, and they did the work of building the conceptual apparatus to support that argument. Haseman (2006) proposed “performative research” as a third paradigm sitting alongside the qualitative and the quantitative, in which the creative work itself, rather than a written report of it, carries the research claim. Barrett and Bolt (2007) developed the idea of “material thinking,” in which knowledge emerges through the maker’s engagement with material rather than being applied to it from outside. Smith and Dean (2009) mapped the iterative cycle through which research and creative practice feed into one another and gave the field its working vocabulary of “practice-led research” and “research-led practice.” Borgdorff (2012) argued that the conflict between artistic research and academia turns on epistemological assumptions the academy can be persuaded to revise, and developed the notion of “exposition” as the mechanism by which artistic work makes its research claim legible. Nelson (2013, 2022) set out a triangulated model in which know-how, know-what and know-that are brought into evidentiary relation. Taken together, these arguments did what was needed in the moment: they established that creative practice could constitute research, that the artefact itself could carry epistemic claims, and that methodological frameworks already operating in studio-based work could be articulated for university audiences. The field would not have survived in the university without this work.</w:t>
      </w:r>
    </w:p>
    <w:p w14:paraId="3FF7E7F9" w14:textId="77777777" w:rsidR="004A0394" w:rsidRDefault="00000000">
      <w:pPr>
        <w:pStyle w:val="BodyText"/>
      </w:pPr>
      <w:r>
        <w:t>The institutional categorisation of “non-traditional research output” emerged from the same period. Within the Excellence in Research for Australia (ERA) framework introduced in 2010, creative practice outputs were designated NTROs in distinction to “traditional” outputs comprising books, book chapters, journal articles and conference publications. The label captured the defensive position at the level of policy categorisation. Creative practice was officially distinguished from textual scholarship and treated as a separate kind of thing. Glisovic and Batty (2026) themselves note that “non-traditional is a definition already situated in opposition to what is ‘traditional’ and is thus marginalised, with a starting point that is in deficit” (p. 13). The NTRO designation locked the deficit framing into the bureaucratic apparatus.</w:t>
      </w:r>
    </w:p>
    <w:p w14:paraId="248B15AC" w14:textId="77777777" w:rsidR="004A0394" w:rsidRDefault="00000000">
      <w:pPr>
        <w:pStyle w:val="BodyText"/>
      </w:pPr>
      <w:r>
        <w:t xml:space="preserve">What was historically a strategic defence has become an inherited orthodoxy. Subsequent generations of creative practice researchers entered the field already shaped by the position. Doctoral candidates were not simply trained, in the course of their candidacy, to articulate the </w:t>
      </w:r>
      <w:r>
        <w:rPr>
          <w:i/>
          <w:iCs/>
        </w:rPr>
        <w:t>difference</w:t>
      </w:r>
      <w:r>
        <w:t xml:space="preserve"> of their practice; they were inducted into the </w:t>
      </w:r>
      <w:r>
        <w:rPr>
          <w:i/>
          <w:iCs/>
        </w:rPr>
        <w:t>deficit position</w:t>
      </w:r>
      <w:r>
        <w:t xml:space="preserve"> from the moment of enrolment, taking up the “outlier” framing as a </w:t>
      </w:r>
      <w:r>
        <w:lastRenderedPageBreak/>
        <w:t xml:space="preserve">condition of belonging to the field they were entering. Promotion cases led with the argument that the work could not be measured against traditional metrics. Research statements began with a defence of the </w:t>
      </w:r>
      <w:r>
        <w:rPr>
          <w:i/>
          <w:iCs/>
        </w:rPr>
        <w:t>form</w:t>
      </w:r>
      <w:r>
        <w:t xml:space="preserve"> before describing the work. The defensive posture became the standing position of the field, no longer recognised as a strategic choice made under specific historical pressures, but treated instead as the natural and necessary frame.</w:t>
      </w:r>
    </w:p>
    <w:p w14:paraId="06CB35A3" w14:textId="77777777" w:rsidR="004A0394" w:rsidRDefault="00000000">
      <w:pPr>
        <w:pStyle w:val="BodyText"/>
      </w:pPr>
      <w:r>
        <w:t xml:space="preserve">Something else has changed, and this is the point I want to make carefully. In the 1990s the field was </w:t>
      </w:r>
      <w:r w:rsidRPr="002A63B4">
        <w:rPr>
          <w:i/>
          <w:iCs/>
        </w:rPr>
        <w:t>conscripted</w:t>
      </w:r>
      <w:r>
        <w:t xml:space="preserve"> into the university. Academics did not choose to become researchers; the institutional move turned them into researchers without their consent. The defensive argument was the right response to that conscription. Thirty years later, the situation is structurally different. People entering creative practice research now do so by </w:t>
      </w:r>
      <w:r>
        <w:rPr>
          <w:i/>
          <w:iCs/>
        </w:rPr>
        <w:t>choice</w:t>
      </w:r>
      <w:r>
        <w:t xml:space="preserve">. The doctoral candidate enrolling in a creative practice PhD, the early-career academic taking up a research-active appointment, the mid-career artist accepting a senior lectureship: these are </w:t>
      </w:r>
      <w:r>
        <w:rPr>
          <w:i/>
          <w:iCs/>
        </w:rPr>
        <w:t>decisions to enter the framework</w:t>
      </w:r>
      <w:r>
        <w:t xml:space="preserve">, not impositions on a field that did not want it. The university’s research apparatus is what is being opted </w:t>
      </w:r>
      <w:r>
        <w:rPr>
          <w:i/>
          <w:iCs/>
        </w:rPr>
        <w:t>into</w:t>
      </w:r>
      <w:r>
        <w:t xml:space="preserve">. The terms on which the field relates to that apparatus therefore look different than they did in the 1990s. A defensive argument made on behalf of a conscripted field has a different status from the same argument made on behalf of </w:t>
      </w:r>
      <w:r>
        <w:rPr>
          <w:i/>
          <w:iCs/>
        </w:rPr>
        <w:t>a field that now chooses participation</w:t>
      </w:r>
      <w:r>
        <w:t>. The first protects; the second, repeated long enough past its moment, begins to insulate the field from the framework it has chosen to enter.</w:t>
      </w:r>
    </w:p>
    <w:p w14:paraId="3CD57300" w14:textId="200F54B5" w:rsidR="004A0394" w:rsidRDefault="00000000">
      <w:pPr>
        <w:pStyle w:val="BodyText"/>
      </w:pPr>
      <w:r>
        <w:t xml:space="preserve">It is here that the DDCA framework, for all its sophistication and the intellectual </w:t>
      </w:r>
      <w:proofErr w:type="spellStart"/>
      <w:r>
        <w:t>labour</w:t>
      </w:r>
      <w:proofErr w:type="spellEnd"/>
      <w:r>
        <w:t xml:space="preserve"> behind it, inherits a strategic choice that I argue now requires re-examination. Glisovic and Batty (2026) set out seven recommendations: appropriate recognition of Indigenous Knowledges; nomenclature; the requirements of the research statement; the definition of “peers” in peer review; size and scale; the reconsideration of “world standards”; and representation. They are not uniform in their relation to the inherited frame. The Indigenous Knowledges recommendation sits on a different axis altogether and the framework itself describes it as its least developed element, awaiting Indigenous leadership. The nomenclature recommendation moves to abandon both “NTRO” and “traditional research output,” dismantling the deficit grammar this paper also criticises, a move this paper supports and returns to in Section 6. Not every recommendation is deficit-framed, then. But most of the framework's operative recommendations point the other way, toward </w:t>
      </w:r>
      <w:r w:rsidR="00414903">
        <w:rPr>
          <w:i/>
          <w:iCs/>
        </w:rPr>
        <w:t>exception</w:t>
      </w:r>
      <w:r>
        <w:t xml:space="preserve"> rather than </w:t>
      </w:r>
      <w:r>
        <w:rPr>
          <w:i/>
          <w:iCs/>
        </w:rPr>
        <w:t>translation</w:t>
      </w:r>
      <w:r>
        <w:t>: a research statement built to articulate the practice's particularity, peers drawn from a closely aligned disciplinary field rather than the mainstream pool, and a bespoke reframing of scale and of international benchmarking. Each of these treats creative practice research as needing its own discipline-specific terms of assessment, rather than translating its existing scholarly operations into terms the wider institution already reads. Even the nomenclature recommendation, which abandons the deficit grammar, retains the strategy of distinction: it keeps a dedicated umbrella term precisely in order to mark the field off from other research. The framework is a careful and considered articulation of the “difference” position. It is not a strategic re-examination of whether the “difference” position still serves the field.</w:t>
      </w:r>
    </w:p>
    <w:p w14:paraId="63A99719" w14:textId="77777777" w:rsidR="004A0394" w:rsidRDefault="00000000">
      <w:pPr>
        <w:pStyle w:val="BodyText"/>
      </w:pPr>
      <w:r>
        <w:t xml:space="preserve">The question this paper raises is whether the inherited position has, after three decades, exhausted its strategic usefulness. The defensive argument made sense when the alternative was assimilation into STEM metrics that would render the field invisible. It is less clear that it makes sense when the alternative is structural equivalence with </w:t>
      </w:r>
      <w:r>
        <w:lastRenderedPageBreak/>
        <w:t>existing scholarly frameworks that already accommodate humanities and social science modes of inquiry alongside experimental science.</w:t>
      </w:r>
    </w:p>
    <w:p w14:paraId="7C167A96" w14:textId="77777777" w:rsidR="004A0394" w:rsidRDefault="00000000">
      <w:pPr>
        <w:pStyle w:val="Heading1"/>
      </w:pPr>
      <w:bookmarkStart w:id="3" w:name="Xedba841d2f1ac0c2e217bd9f504ddf4fbc080cc"/>
      <w:bookmarkEnd w:id="2"/>
      <w:r>
        <w:t>3. The cost of the inherited position, and what is at stake</w:t>
      </w:r>
    </w:p>
    <w:p w14:paraId="0569CAE6" w14:textId="77777777" w:rsidR="004A0394" w:rsidRDefault="00000000">
      <w:pPr>
        <w:pStyle w:val="FirstParagraph"/>
      </w:pPr>
      <w:r>
        <w:t>The cost of the inherited position has been substantial, and it has been borne in two distinct registers. There are external institutional costs that have been documented across multiple sites and sources. There are also internal costs, less visible but arguably more consequential, in the way the field has been trained to relate to itself and to its institutional contexts.</w:t>
      </w:r>
    </w:p>
    <w:p w14:paraId="7AED4BAA" w14:textId="77777777" w:rsidR="00744B6E" w:rsidRDefault="00000000">
      <w:pPr>
        <w:pStyle w:val="BodyText"/>
      </w:pPr>
      <w:r>
        <w:t xml:space="preserve">The external costs are increasingly visible. Category 1 competitive research income, </w:t>
      </w:r>
      <w:r w:rsidR="00720723">
        <w:t xml:space="preserve">arguably </w:t>
      </w:r>
      <w:r>
        <w:t xml:space="preserve">the most prestigious form of research funding in Australia, flows poorly to creative practice researchers. The DECRA Fellowship I currently hold is one of only </w:t>
      </w:r>
      <w:r w:rsidR="00720723">
        <w:t>four</w:t>
      </w:r>
      <w:r>
        <w:t xml:space="preserve"> ever awarded in Visual Arts as primary field of research, in a scheme that has been running since 2012. ARC schemes do not read creative practice outputs as competitive against traditional research outputs, in part because reviewers trained in other traditions struggle to read NTRO research statements that begin from a defensive frame</w:t>
      </w:r>
      <w:r w:rsidR="00744B6E">
        <w:t>.</w:t>
      </w:r>
    </w:p>
    <w:p w14:paraId="2A445BD4" w14:textId="6F546271" w:rsidR="00744B6E" w:rsidRDefault="00744B6E">
      <w:pPr>
        <w:pStyle w:val="BodyText"/>
      </w:pPr>
      <w:r>
        <w:t>Part of the shortfall starts earlier than the application itself. Fine art pedagogy has long been described as oscillating between two poles that are not yet reconciled: the atelier tradition, which privileges apprenticeship, technique and tacit knowledge, and the academic tradition, which privileges discourse, critique and theory (Sullivan, 2005). Most practitioners entering a creative practice PhD have already chosen the research path deliberately; what</w:t>
      </w:r>
      <w:r>
        <w:t xml:space="preserve"> tends to</w:t>
      </w:r>
      <w:r>
        <w:t xml:space="preserve"> </w:t>
      </w:r>
      <w:proofErr w:type="gramStart"/>
      <w:r>
        <w:t>lag</w:t>
      </w:r>
      <w:r>
        <w:t xml:space="preserve"> </w:t>
      </w:r>
      <w:r>
        <w:t>behind</w:t>
      </w:r>
      <w:proofErr w:type="gramEnd"/>
      <w:r>
        <w:t xml:space="preserve"> their choice is not their intent but the surrounding institutional culture, which in </w:t>
      </w:r>
      <w:r>
        <w:t xml:space="preserve">some (many?) </w:t>
      </w:r>
      <w:r>
        <w:t>art schools still carries the atelier's inheritance more than doctoral training in other disciplines does. I have seen this lag firsthand, across different art schools I have worked at over the years</w:t>
      </w:r>
      <w:r>
        <w:t>, at research-based Universit</w:t>
      </w:r>
      <w:r w:rsidR="00142B9F">
        <w:t>ie</w:t>
      </w:r>
      <w:r>
        <w:t>s</w:t>
      </w:r>
      <w:r>
        <w:t xml:space="preserve">. </w:t>
      </w:r>
      <w:r>
        <w:t>In these instances, e</w:t>
      </w:r>
      <w:r>
        <w:t xml:space="preserve">arly-career creative practice researchers are typically trained, from the outset of their candidature, to treat shaping their practice toward a Category 1 proposal as a </w:t>
      </w:r>
      <w:r w:rsidRPr="00744B6E">
        <w:rPr>
          <w:i/>
          <w:iCs/>
        </w:rPr>
        <w:t>compromise of its integrity</w:t>
      </w:r>
      <w:r>
        <w:t xml:space="preserve">, rather than as a </w:t>
      </w:r>
      <w:r w:rsidRPr="00744B6E">
        <w:rPr>
          <w:i/>
          <w:iCs/>
        </w:rPr>
        <w:t>translation</w:t>
      </w:r>
      <w:r>
        <w:t xml:space="preserve"> task equivalent to what any early-career researcher in another discipline learns to do. This conflict has a long history in the visual arts specifically. </w:t>
      </w:r>
      <w:r>
        <w:t>Anecdotally, w</w:t>
      </w:r>
      <w:r>
        <w:t xml:space="preserve">hen I began my own PhD in 2003, I was </w:t>
      </w:r>
      <w:proofErr w:type="spellStart"/>
      <w:r>
        <w:t>criticised</w:t>
      </w:r>
      <w:proofErr w:type="spellEnd"/>
      <w:r>
        <w:t xml:space="preserve"> openly by Alexie Glass, then and since an internationally acclaimed </w:t>
      </w:r>
      <w:r>
        <w:t xml:space="preserve">Australian </w:t>
      </w:r>
      <w:r>
        <w:t>curator, who argued that formal doctoral study would stifle my practice and its growth. That view was, at the time, the dominant paradigm in the sector; it remains present today, though considerably less pervasive than it was. Alexie and I have since collaborated on many projects together, and I raise the exchange not as a grievance but as a marker of how far, and how recently, the paradigm has shifted. The deficit posture inherited in Section 2 is transmitted here in a very concrete form: it is not only that Category 1 income flows poorly to the field, but that the field's own training, and its own senior voices, have discouraged the researchers who might attract it from trying.</w:t>
      </w:r>
    </w:p>
    <w:p w14:paraId="46999D84" w14:textId="2BCBE96A" w:rsidR="004A0394" w:rsidRDefault="00000000">
      <w:pPr>
        <w:pStyle w:val="BodyText"/>
      </w:pPr>
      <w:r>
        <w:t xml:space="preserve">Infrastructure funding flows to research categories the institution can already account for in its reporting frameworks: STEM gets laboratories, creative practice gets nothing standardised. Research Block Grant allocations, distributed against HERDC-counted income, follow the same logic. The hidden subsidy borne by individual creative practice </w:t>
      </w:r>
      <w:r>
        <w:lastRenderedPageBreak/>
        <w:t>researchers is a straightforward asymmetry: STEM researchers work in laboratories the university builds, equips and maintains, while visual arts researchers typically fund their own studios, materials and electricity as a standing cost of doing the research at all. Between 2022 and 2026 I developed five large-scale, permanent playable sculpture projects (Mestrom, forthcoming; portfolio at https://mestrom.org/public-art/), and my own analysis of that case study puts a figure on the asymmetry: approximately $131,000 in self-provided infrastructure (studio rent and improvements, electricity, tools, maintenance) against research income generation in excess of $1.2 million. The subsidy is not incidental to the research; it is a precondition the institution has never had to meet for its STEM researchers.</w:t>
      </w:r>
    </w:p>
    <w:p w14:paraId="0E3CA121" w14:textId="77777777" w:rsidR="004A0394" w:rsidRDefault="00000000">
      <w:pPr>
        <w:pStyle w:val="BodyText"/>
      </w:pPr>
      <w:r>
        <w:t>The administrative cost falls on the same researchers a second time. Barwick and Toltz (2017), writing from inside the University of Sydney’s NTRO assessment process at the Sydney Conservatorium of Music, document that processing an NTRO submission takes approximately two and a half times the research-unit time of a HERDC-eligible output, before the staff time of assembling materials is even counted. In a faculty whose research outputs are predominantly NTROs, that coefficient translates directly into roughly double the administrative load of an equivalent textually-output faculty. The structural disadvantage is not a perception. It is a measured operational fact, internal to this institution, in a peer-reviewed account.</w:t>
      </w:r>
    </w:p>
    <w:p w14:paraId="46FE301A" w14:textId="77777777" w:rsidR="004A0394" w:rsidRDefault="00000000">
      <w:pPr>
        <w:pStyle w:val="BodyText"/>
      </w:pPr>
      <w:r>
        <w:t>The assessment apparatus reproduces the difficulty. McKee (2020) surveyed thirty experts in the assessment of NTROs and found that only four of nineteen possible assessment criteria reached genuine consensus among assessors. On fundamental questions (whether scale matters, whether uniqueness matters, whether practice-community success matters) experts either disagreed or responded “it depends.” The detail of what they did and did not agree on is examined in Section 6, where it provides direct evidence for the translation argument. For present purposes the headline cost is clear: a field assessed by a community that cannot agree on its own assessment criteria is a field whose work is subject to disparities at every level, and those disparities fall on individuals.</w:t>
      </w:r>
    </w:p>
    <w:p w14:paraId="2088295E" w14:textId="77777777" w:rsidR="004A0394" w:rsidRDefault="00000000">
      <w:pPr>
        <w:pStyle w:val="BodyText"/>
      </w:pPr>
      <w:r>
        <w:t>The internal costs are less easily documented but arguably more important. Every time a creative practice researcher writes a research statement that argues for the legitimacy of the form before describing the work, the framework that disadvantages the field is reinforced. Every time an exhibition is treated as needing separate justification to count as research, the equivalence with peer-reviewed publication that already structurally exists is suppressed. Every time a doctoral candidate is trained to articulate the difference of their practice from textual scholarship, the deficit posture is transmitted to the next generation. The cost is borne by individuals, who become advocates for their own form before they are ever readers of their own work. It is also borne by the field, which finds its most articulate practitioners spending disproportionate intellectual labour defending the form rather than developing the work.</w:t>
      </w:r>
    </w:p>
    <w:p w14:paraId="22A7BF69" w14:textId="77777777" w:rsidR="004A0394" w:rsidRDefault="00000000">
      <w:pPr>
        <w:pStyle w:val="BodyText"/>
      </w:pPr>
      <w:r>
        <w:t xml:space="preserve">This is the harder argument to make, because it implicates careers built on the defensive position. The argument is not that those careers were wrong or that the defensive position was foolish. The argument is that the defensive position made sense in its moment and that the moment has passed. The field is no longer fighting for inclusion in the university. It is now fighting for parity within the university, and the rhetorical instruments that secured inclusion are not the same instruments that will </w:t>
      </w:r>
      <w:r>
        <w:lastRenderedPageBreak/>
        <w:t>secure parity. Parity requires equivalence; equivalence requires translation; translation requires a different strategic posture.</w:t>
      </w:r>
    </w:p>
    <w:p w14:paraId="1866E4D5" w14:textId="77777777" w:rsidR="004A0394" w:rsidRDefault="00000000">
      <w:pPr>
        <w:pStyle w:val="BodyText"/>
      </w:pPr>
      <w:r>
        <w:t>Wilson (2017) registered a version of this point a decade ago, observing that “where artistic researchers have been less successful is in reassuring the university sector of the rigour and reliability of their disciplinary peer-review process and agreeing appropriate measures that can demonstrate quality in artistic research” (p. 190). She concluded that “artistic researchers themselves need to determine the most appropriate measures that demonstrate how their work can be evaluated within the context of research” (p. 190). The observation, with its implied solution, has not been fully heeded. The field has continued to argue for distinct measures rather than translating its existing measures into terms the institution can read.</w:t>
      </w:r>
    </w:p>
    <w:p w14:paraId="4C6486C4" w14:textId="0F5EE432" w:rsidR="002D6AF6" w:rsidRDefault="00D72951">
      <w:pPr>
        <w:pStyle w:val="BodyText"/>
      </w:pPr>
      <w:r>
        <w:t>T</w:t>
      </w:r>
      <w:r w:rsidR="00000000">
        <w:t xml:space="preserve">he inherited position now actively harms the field, because the cost is not only the abstract accumulation of disadvantage. Three harms are visible in everyday institutional life. </w:t>
      </w:r>
    </w:p>
    <w:p w14:paraId="3E657002" w14:textId="55C8686F" w:rsidR="004A0394" w:rsidRDefault="00000000" w:rsidP="002D6AF6">
      <w:pPr>
        <w:pStyle w:val="BodyText"/>
        <w:numPr>
          <w:ilvl w:val="0"/>
          <w:numId w:val="30"/>
        </w:numPr>
      </w:pPr>
      <w:r>
        <w:t>First, colleagues do not consistently know how to describe their work as research in terms the institution can read. The defensive habit of leading with the work’s difference, rather than with its scholarly contribution, leaves many creative practice researchers unable to articulate to a grants committee or a promotion panel what the research dimensions of their practice are, not because the research dimensions are not there, but because the rhetorical posture they have been trained into is the posture of difference, and difference is not what funders and panels are equipped to assess.</w:t>
      </w:r>
    </w:p>
    <w:p w14:paraId="5486D225" w14:textId="4FA99F6C" w:rsidR="004A0394" w:rsidRDefault="00000000" w:rsidP="002D6AF6">
      <w:pPr>
        <w:pStyle w:val="BodyText"/>
        <w:numPr>
          <w:ilvl w:val="0"/>
          <w:numId w:val="30"/>
        </w:numPr>
      </w:pPr>
      <w:r>
        <w:t xml:space="preserve">Second, the field has not built the institutional architecture that supports research careers to develop and accumulate over time. Where this architecture exists in adjacent practicum-based disciplines (architecture, design, landscape architecture) it takes the form of research clusters, labs and thematic centres that anchor research ecosystems around shared questions: housing affordability, urban heat, post-disaster reconstruction, climate adaptation. The clusters do several things at once. They anchor doctoral supervision in a community of researchers rather than the one-to-one apprenticeship model, which means candidates encounter multiple mentors, learn the everyday craft of being a researcher, and see how research careers </w:t>
      </w:r>
      <w:proofErr w:type="gramStart"/>
      <w:r>
        <w:t>actually work</w:t>
      </w:r>
      <w:proofErr w:type="gramEnd"/>
      <w:r>
        <w:t xml:space="preserve"> from the inside. They make interdisciplinary collaboration findable: a creative practice researcher who wants to build a team with a humanities theorist and a community partner can do so because the architecture exists to make those colleagues visible to one another. They generate the kind of teams that win Category 1 competitive funding at the larger scale, and crucially, they let creative practice researchers lead those teams rather than be brought in as the practice component of someone else’s research design. And they carry the through-line of inquiry that lets a mid-career researcher build, for example, a Future Fellowship application around fifteen years of cumulative practice rather than around a single project. The architecture is not impossible to build in visual arts and the cognate creative practice disciplines (architecture, design and landscape architecture have done it well, and the cluster model is fully compatible with practice-based inquiry) but it has been built sporadically rather than as the default, and the field has not yet made the structural case for treating it as the default rather than the exception.</w:t>
      </w:r>
    </w:p>
    <w:p w14:paraId="5338B1FA" w14:textId="162DABF6" w:rsidR="004A0394" w:rsidRDefault="00000000" w:rsidP="00002DD3">
      <w:pPr>
        <w:pStyle w:val="BodyText"/>
        <w:numPr>
          <w:ilvl w:val="0"/>
          <w:numId w:val="30"/>
        </w:numPr>
      </w:pPr>
      <w:r>
        <w:lastRenderedPageBreak/>
        <w:t>Third, the cumulative effect on postgraduate culture is consequential, and arguably the most important of the three. Where the cluster architecture is in place, doctoral candidates come to understand the PhD as the start of a thirty-year research arc rather than as a terminal event. The candidate finishes their doctorate, becomes a contributor to the cluster they trained inside, draws on its infrastructure for their first post-doctoral applications, contributes to the cluster’s next thematic project, and builds a research identity longitudinally inside an institutional structure that was waiting for them. This is normal in the sciences and in the well-organised humanities; it is what every creative practice researcher’s doctoral training could plausibly prepare them for. In its absence, candidates are trained well in their craft and then enter a working life in which the PhD is the end of formal research training rather than its foundation. The three harms compound. Colleagues who cannot describe their work as research do not build the career arc that would generate the research ecosystem that would, in turn, give the next generation the institutional architecture to describe their work as research within. The cycle has been running for thirty years. It is not benign.</w:t>
      </w:r>
    </w:p>
    <w:p w14:paraId="4110AA2C" w14:textId="77777777" w:rsidR="004A0394" w:rsidRDefault="00000000">
      <w:pPr>
        <w:pStyle w:val="BodyText"/>
      </w:pPr>
      <w:r>
        <w:t>What is at stake, then, is not simply the continuation of these costs but their consolidation. The deficit position is self-reinforcing. Each cohort of doctoral candidates trained to articulate the field’s difference widens the base of practitioners for whom exception is the only known posture, and each promotion case argued from exception makes exception the frame assessors come to expect. The cost is not static; it compounds. This is what gives the strategic question its urgency, and it is also why the question cannot be deferred to a more settled moment. The DDCA framework, precisely because it represents three decades of sophisticated work and will in all likelihood be widely adopted, risks setting the terms of a parallel apparatus for another generation, and a parallel apparatus, however carefully designed, positions the field in relation to a primary framework it has already conceded as primary. The risk the field faces is therefore not that the difference position fails. It is that it succeeds, and in succeeding locks in the structural exception for another thirty years. Translation is available as a strategic choice now. The window in which it remains available is not indefinite.</w:t>
      </w:r>
    </w:p>
    <w:p w14:paraId="375D3878" w14:textId="77777777" w:rsidR="004A0394" w:rsidRDefault="00000000">
      <w:pPr>
        <w:pStyle w:val="Heading1"/>
      </w:pPr>
      <w:bookmarkStart w:id="4" w:name="the-case-for-equivalence"/>
      <w:bookmarkEnd w:id="3"/>
      <w:r>
        <w:t>4. The case for equivalence</w:t>
      </w:r>
    </w:p>
    <w:p w14:paraId="0E4C2F4F" w14:textId="7AB4E148" w:rsidR="004A0394" w:rsidRDefault="00000000">
      <w:pPr>
        <w:pStyle w:val="FirstParagraph"/>
      </w:pPr>
      <w:r>
        <w:t xml:space="preserve">The strongest argument for translation over exception is that the structural equivalence between creative practice research and other forms of scholarly research is genuine rather than analogical, meaning it holds by the same </w:t>
      </w:r>
      <w:r w:rsidRPr="002236C3">
        <w:rPr>
          <w:i/>
          <w:iCs/>
        </w:rPr>
        <w:t>underlying structure</w:t>
      </w:r>
      <w:r>
        <w:t xml:space="preserve"> rather than by surface resemblance. The studio is not like a laboratory in the sense of being a procedural copy of one</w:t>
      </w:r>
      <w:r w:rsidR="00DB59EF">
        <w:t>, yet i</w:t>
      </w:r>
      <w:r>
        <w:t xml:space="preserve">t is cognate with empirical inquiry in a different sense: related by shared structure rather than identical procedure, and specifically systematic, iterative, propositional, materially tested. </w:t>
      </w:r>
      <w:r w:rsidRPr="00443D44">
        <w:rPr>
          <w:highlight w:val="yellow"/>
        </w:rPr>
        <w:t xml:space="preserve">The exhibition is not like peer-reviewed publication in </w:t>
      </w:r>
      <w:r w:rsidRPr="00443D44">
        <w:rPr>
          <w:i/>
          <w:iCs/>
          <w:highlight w:val="yellow"/>
        </w:rPr>
        <w:t>form</w:t>
      </w:r>
      <w:r w:rsidR="00B97A54" w:rsidRPr="00443D44">
        <w:rPr>
          <w:highlight w:val="yellow"/>
        </w:rPr>
        <w:t>, yet i</w:t>
      </w:r>
      <w:r w:rsidRPr="00443D44">
        <w:rPr>
          <w:highlight w:val="yellow"/>
        </w:rPr>
        <w:t xml:space="preserve">t is cognate with peer-reviewed publication in </w:t>
      </w:r>
      <w:r w:rsidRPr="00443D44">
        <w:rPr>
          <w:i/>
          <w:iCs/>
          <w:highlight w:val="yellow"/>
        </w:rPr>
        <w:t>function</w:t>
      </w:r>
      <w:r w:rsidRPr="00443D44">
        <w:rPr>
          <w:highlight w:val="yellow"/>
        </w:rPr>
        <w:t xml:space="preserve">: it is the </w:t>
      </w:r>
      <w:r w:rsidRPr="00443D44">
        <w:rPr>
          <w:i/>
          <w:iCs/>
          <w:highlight w:val="yellow"/>
        </w:rPr>
        <w:t>venue</w:t>
      </w:r>
      <w:r w:rsidRPr="00443D44">
        <w:rPr>
          <w:highlight w:val="yellow"/>
        </w:rPr>
        <w:t xml:space="preserve"> at which expert judgement is brought to bear on the contribution before the work enters the discourse.</w:t>
      </w:r>
      <w:r>
        <w:t xml:space="preserve"> This section makes the case for that structural cognation across three sites (</w:t>
      </w:r>
      <w:r>
        <w:rPr>
          <w:b/>
          <w:bCs/>
        </w:rPr>
        <w:t>curatorial selection</w:t>
      </w:r>
      <w:r>
        <w:t xml:space="preserve">, </w:t>
      </w:r>
      <w:r>
        <w:rPr>
          <w:b/>
          <w:bCs/>
        </w:rPr>
        <w:t>acquisition</w:t>
      </w:r>
      <w:r>
        <w:t xml:space="preserve">, and </w:t>
      </w:r>
      <w:r>
        <w:rPr>
          <w:b/>
          <w:bCs/>
        </w:rPr>
        <w:t>citation</w:t>
      </w:r>
      <w:r>
        <w:t>) and grounds the case in worked examples rather than in definition alone.</w:t>
      </w:r>
      <w:r w:rsidR="001A088B">
        <w:t xml:space="preserve"> </w:t>
      </w:r>
      <w:r w:rsidR="001A088B">
        <w:t xml:space="preserve">Section 5 </w:t>
      </w:r>
      <w:proofErr w:type="spellStart"/>
      <w:r w:rsidR="001A088B">
        <w:t>operationalises</w:t>
      </w:r>
      <w:proofErr w:type="spellEnd"/>
      <w:r w:rsidR="001A088B">
        <w:t xml:space="preserve"> these three sites into the</w:t>
      </w:r>
      <w:r w:rsidR="001A088B">
        <w:t xml:space="preserve"> SCA’s</w:t>
      </w:r>
      <w:r w:rsidR="001A088B">
        <w:t xml:space="preserve"> seven-category </w:t>
      </w:r>
      <w:r w:rsidR="001A088B" w:rsidRPr="001A088B">
        <w:rPr>
          <w:i/>
          <w:iCs/>
        </w:rPr>
        <w:t>NTRO Evidence Template</w:t>
      </w:r>
      <w:r w:rsidR="001A088B">
        <w:t>,</w:t>
      </w:r>
      <w:r w:rsidR="003B362D">
        <w:t xml:space="preserve"> which we’ve been developing,</w:t>
      </w:r>
      <w:r w:rsidR="001A088B">
        <w:t xml:space="preserve"> reproduced in full as Appendix C.</w:t>
      </w:r>
    </w:p>
    <w:p w14:paraId="1BBFA9C4" w14:textId="726DC637" w:rsidR="004A0394" w:rsidRDefault="00000000" w:rsidP="00B97A54">
      <w:pPr>
        <w:pStyle w:val="BodyText"/>
        <w:numPr>
          <w:ilvl w:val="0"/>
          <w:numId w:val="31"/>
        </w:numPr>
      </w:pPr>
      <w:r>
        <w:rPr>
          <w:b/>
          <w:bCs/>
        </w:rPr>
        <w:lastRenderedPageBreak/>
        <w:t>Curatorial selection into a recognised institutional exhibition</w:t>
      </w:r>
      <w:r>
        <w:t xml:space="preserve"> performs the function of peer review. The curator of a state museum, a major biennale, a significant thematic group exhibition or a major commissioning body occupies a role structurally cognate with that of a journal editor in the textual research economy. The curator competitively selects from a field of practitioners, judges the intellectual contribution of the work, contextualises it within an existing discourse, and lends their expert authority to its significance. The curator then produces the framing scholarship (catalogue essay, wall text, exhibition rationale) that positions the work within its field of reference. This is interpretive labour journal editors do not typically perform; the curator does it as a routine part of selection. The curator’s expert authority is institutional and public, attested through published programme, catalogue and ongoing institutional record. This is not an analogy. It is a structural equivalence. Aspects of this equivalence have already been named within the European artistic research tradition: the Journal for Artistic Research (Schwab, 2011) operates a formal peer-review process for artistic “expositions” in the sense Borgdorff (2012) developed, and the Society for Artistic Research, which publishes JAR, has established protocols by which artistic contributions are reviewed by expert peers prior to publication. What is proposed here is broader. Curatorial selection in the gallery and museum sector already performs the same functions in the everyday operation of the creative arts in Australia and elsewhere, </w:t>
      </w:r>
      <w:proofErr w:type="gramStart"/>
      <w:r>
        <w:t>whether or not</w:t>
      </w:r>
      <w:proofErr w:type="gramEnd"/>
      <w:r>
        <w:t xml:space="preserve"> it has been named as peer review and </w:t>
      </w:r>
      <w:proofErr w:type="gramStart"/>
      <w:r>
        <w:t>whether or not</w:t>
      </w:r>
      <w:proofErr w:type="gramEnd"/>
      <w:r>
        <w:t xml:space="preserve"> it is held within a dedicated artistic-research publishing apparatus. The work of this paper is to insist that those everyday operations be read for what they already are.</w:t>
      </w:r>
    </w:p>
    <w:p w14:paraId="22E0834B" w14:textId="77777777" w:rsidR="004A0394" w:rsidRDefault="00000000" w:rsidP="00B97A54">
      <w:pPr>
        <w:pStyle w:val="BodyText"/>
        <w:ind w:left="720"/>
      </w:pPr>
      <w:r>
        <w:t>A worked example makes this concrete. Every research-intensive Australian university now operates some form of NTRO assessment apparatus. What matters is not that the apparatus exists, but what it is actually doing, step by step: a contribution is framed by its author, screened by editorial gatekeepers, sent for expert blind review, opened to contestation if contested, and admitted to or excluded from the research record on that basis. That sequence is peer review. NTRO assessment has been described, historically, as a discipline-specific bureaucratic process attached to creative work; the claim here is that this description mistakes the apparatus's label for its function. The argument of this paper is that the second reading is the accurate one and that the field has been describing the apparatus in form terms when it should have been describing it in functional terms.</w:t>
      </w:r>
    </w:p>
    <w:p w14:paraId="1A19ABD7" w14:textId="77777777" w:rsidR="004A0394" w:rsidRDefault="00000000" w:rsidP="00B97A54">
      <w:pPr>
        <w:pStyle w:val="BodyText"/>
        <w:ind w:left="720"/>
      </w:pPr>
      <w:r>
        <w:t xml:space="preserve">A documented Sydney case makes this concrete. In 2014, Joseph Toltz produced and directed a performance of the children’s opera Brundibár at the City Recital Hall as a major NTRO submission to the University of Sydney; Barwick and Toltz (2017) document the assessment that followed in a peer-reviewed published account. The work was assessed under the ERA category of live performance, processed through the University’s central Integrated Research Management Application (IRMA) database with full verification materials (recordings, programmes, research statement, authorship declaration) and sent to anonymous external assessors who could either approve that the output met the requirements of the Sydney NTRO Guidelines or require additional evidence. The Guidelines are the University's own local procedure (its proforma, its verification database, its assessor pool, its evidence thresholds) for applying the federal </w:t>
      </w:r>
      <w:r>
        <w:lastRenderedPageBreak/>
        <w:t>HERDC test to a specific submission; they exist to serve that national test, not to replace it, and every other university applies the identical HERDC criteria through its own differently-built local procedure. The two are meant to align exactly, and Appendix D.7's defensibility standard is the safeguard that keeps Sydney's local implementation honest against the national test it exists to serve. The submission passed external blind assessment and was admitted to the research record as a major output. Each step in that process maps directly onto a step in journal-article peer review: the research statement and ERA-category determination perform editorial framing of the contribution; the external NTRO assessors perform expert blind review; the internal contestation route performs the appeals function any rigorous review process needs; the institutional decision to admit the work to the research record performs acceptance. The point of the case is simply this: Sydney was not doing anything distinctive here. It was running the apparatus every research-intensive university runs, and that apparatus is already cognate with peer review at the functional level, documented in a peer-reviewed account by the people who ran it. What remains is for the sector to read its own apparatus in those terms.</w:t>
      </w:r>
    </w:p>
    <w:p w14:paraId="65E2178B" w14:textId="709C71A9" w:rsidR="004A0394" w:rsidRDefault="00000000" w:rsidP="00B97A54">
      <w:pPr>
        <w:pStyle w:val="BodyText"/>
        <w:numPr>
          <w:ilvl w:val="0"/>
          <w:numId w:val="31"/>
        </w:numPr>
      </w:pPr>
      <w:r>
        <w:rPr>
          <w:b/>
          <w:bCs/>
        </w:rPr>
        <w:t>Acquisition by a major public collecting institution</w:t>
      </w:r>
      <w:r>
        <w:t xml:space="preserve"> is an even stronger form of expert peer judgement. Acquisition involves written curatorial rationale, conservation assessment, acquisition committee review (typically including external experts), and board ratification. The institution then commits significant ongoing resources (catalogue documentation, conservation, exhibition planning, archival permanence) that constitute binding institutional vouching for the work’s significance. State acquisition involves public funding accountability </w:t>
      </w:r>
      <w:proofErr w:type="gramStart"/>
      <w:r>
        <w:t>not present</w:t>
      </w:r>
      <w:proofErr w:type="gramEnd"/>
      <w:r>
        <w:t xml:space="preserve"> in scholarly publication. The FASS Academic Excellence Framework (2024) explicitly recognises this, stating that “a further quality measure in Visual Art NTROs is acquisition by a major institution, thus its cultural value (and the artist’s cultural value) increases nationally and internationally.” The recognition is in the institutional document. What has been missing is the consistent application of that recognition in everyday assessment.</w:t>
      </w:r>
    </w:p>
    <w:p w14:paraId="2DAE116E" w14:textId="77777777" w:rsidR="004A0394" w:rsidRDefault="00000000" w:rsidP="00B97A54">
      <w:pPr>
        <w:pStyle w:val="BodyText"/>
        <w:ind w:left="720"/>
      </w:pPr>
      <w:r>
        <w:t xml:space="preserve">The institutional vouching is not a one-off honour. It is a structural commitment. When a state collection acquires a work, the institution takes on the cost of conserving it, the curatorial responsibility for re-exhibiting it in thematic surveys, the scholarly responsibility of documenting it in catalogue raisonnés, and the public accountability of having committed taxpayer funds to its acquisition. These are obligations the institution will continue to honour for decades. In function this is closer to institutional impact assessment than to a citation: it is a binding judgement, made by an expert body, that the work merits sustained institutional support and ongoing scholarly attention. The work is not assessed once and then forgotten; it is assessed and then carried by the institution as part of the standing record of the field. This is what “institutional impact” means in the AEF’s own terms. The </w:t>
      </w:r>
      <w:r>
        <w:rPr>
          <w:i/>
          <w:iCs/>
        </w:rPr>
        <w:t>translation</w:t>
      </w:r>
      <w:r>
        <w:t xml:space="preserve"> argument is that this should be read as such in everyday research assessment, not as an exceptional or supplementary marker.</w:t>
      </w:r>
    </w:p>
    <w:p w14:paraId="09DF6BF3" w14:textId="3064F20B" w:rsidR="004A0394" w:rsidRDefault="00000000" w:rsidP="00B97A54">
      <w:pPr>
        <w:pStyle w:val="BodyText"/>
        <w:numPr>
          <w:ilvl w:val="0"/>
          <w:numId w:val="31"/>
        </w:numPr>
      </w:pPr>
      <w:r>
        <w:rPr>
          <w:b/>
          <w:bCs/>
        </w:rPr>
        <w:t>The citation infrastructure for creative practice research</w:t>
      </w:r>
      <w:r>
        <w:t xml:space="preserve"> exists in the network of exhibition catalogues, critical essays, artist monographs, curatorial texts, creative writing, and subsequent artworks that together constitute the </w:t>
      </w:r>
      <w:r>
        <w:lastRenderedPageBreak/>
        <w:t>discourse of the field. When another artist builds on a proposition, when a curator situates a work in a genealogy, when a critic traces a contribution to a discourse, when a public collection re-exhibits a work in a thematic survey, that is citation. The infrastructure does not require invention. It requires recognition, documentation, and translation into terms already legible within the university. Google Scholar and similar bibliometric platforms capture some of this citation, particularly catalogue essays and curatorial writing held in monographic publications. The Field-Weighted Citation Impact and similar metrics, while imperfect, are not categorically incapable of registering creative practice citation. The work is to document the citation that already exists rather than to argue that citation is inapplicable.</w:t>
      </w:r>
    </w:p>
    <w:p w14:paraId="5B3D0B96" w14:textId="77777777" w:rsidR="004A0394" w:rsidRDefault="00000000" w:rsidP="00B97A54">
      <w:pPr>
        <w:pStyle w:val="BodyText"/>
        <w:ind w:left="720"/>
      </w:pPr>
      <w:r>
        <w:t>The Brundibár case again makes the point concrete. The Sydney production was reviewed and reported in The Weekend Australian, the Sydney Morning Herald, the ABC TV 7.30 Report, Radio National, ABC Classic FM, and a subsequent international interview on Radio Sefarad in Madrid for UN Holocaust Remembrance Day (Barwick and Toltz, 2017). The production was the subject of a peer-reviewed book chapter, the Barwick and Toltz chapter itself, published two years after the event. Read in scholarly terms, the work has been situated by other commentators in its historical, ethnographic and musicological field; it has been built on by the author in subsequent scholarship; and it sits within an ongoing discourse about Terezín cultural production that other scholars have engaged with. This is citation in everything but the conventional bibliometric form. The Sydney Brundibár is documented in a peer-reviewed publication, referenced internationally, and continues to generate scholarly uptake nearly a decade after the original event. That uptake is what citation is for. The argument here is that the infrastructure to read this uptake as citation already exists; the field has simply not consistently insisted on it being read.</w:t>
      </w:r>
    </w:p>
    <w:p w14:paraId="4FF2702E" w14:textId="77777777" w:rsidR="004A0394" w:rsidRDefault="00000000">
      <w:pPr>
        <w:pStyle w:val="BodyText"/>
      </w:pPr>
      <w:r>
        <w:t xml:space="preserve">The equivalence can be shown one layer lower still, at the federal definition of research itself. The Brundibár case demonstrates the apparatus operating at the institutional layer; the same translation holds at the layer where the deficit framing is encoded federally. HERDC counts an activity as research when it meets the OECD-derived R&amp;D criteria the Frascati framework supplies: that the work be </w:t>
      </w:r>
      <w:r w:rsidRPr="0072500B">
        <w:rPr>
          <w:b/>
          <w:bCs/>
        </w:rPr>
        <w:t>novel</w:t>
      </w:r>
      <w:r>
        <w:t xml:space="preserve">, </w:t>
      </w:r>
      <w:r w:rsidRPr="0072500B">
        <w:rPr>
          <w:b/>
          <w:bCs/>
        </w:rPr>
        <w:t>creative</w:t>
      </w:r>
      <w:r>
        <w:t xml:space="preserve">, </w:t>
      </w:r>
      <w:r w:rsidRPr="0072500B">
        <w:rPr>
          <w:b/>
          <w:bCs/>
        </w:rPr>
        <w:t>uncertain</w:t>
      </w:r>
      <w:r>
        <w:t xml:space="preserve"> in outcome, </w:t>
      </w:r>
      <w:r w:rsidRPr="0072500B">
        <w:rPr>
          <w:b/>
          <w:bCs/>
        </w:rPr>
        <w:t>systematic</w:t>
      </w:r>
      <w:r>
        <w:t xml:space="preserve">, and </w:t>
      </w:r>
      <w:r w:rsidRPr="0072500B">
        <w:rPr>
          <w:b/>
          <w:bCs/>
        </w:rPr>
        <w:t>transferable</w:t>
      </w:r>
      <w:r>
        <w:t xml:space="preserve"> or reproducible. These are not visual-arts criteria and were not written with the studio in mind. They are the generic, discipline-neutral test the federal system already applies to every research activity it counts, in every field. The </w:t>
      </w:r>
      <w:r w:rsidRPr="00B50945">
        <w:rPr>
          <w:i/>
          <w:iCs/>
        </w:rPr>
        <w:t>translation</w:t>
      </w:r>
      <w:r>
        <w:t xml:space="preserve"> claim is that creative practice research meets this generic test directly, on the evidence, without a discipline-specific instrument being interposed.</w:t>
      </w:r>
    </w:p>
    <w:p w14:paraId="22C663C3" w14:textId="6B312024" w:rsidR="004A0394" w:rsidRDefault="00000000">
      <w:pPr>
        <w:pStyle w:val="BodyText"/>
      </w:pPr>
      <w:r>
        <w:t xml:space="preserve">A worked example makes this concrete. The </w:t>
      </w:r>
      <w:hyperlink r:id="rId7" w:history="1">
        <w:r w:rsidRPr="004E0AE2">
          <w:rPr>
            <w:rStyle w:val="Hyperlink"/>
            <w:i/>
            <w:highlight w:val="yellow"/>
            <w:u w:val="single"/>
          </w:rPr>
          <w:t>Art/Skate/Dots</w:t>
        </w:r>
      </w:hyperlink>
      <w:r w:rsidRPr="004E0AE2">
        <w:rPr>
          <w:highlight w:val="yellow"/>
        </w:rPr>
        <w:t xml:space="preserve"> </w:t>
      </w:r>
      <w:r w:rsidRPr="00B517D0">
        <w:t xml:space="preserve">public art research project </w:t>
      </w:r>
      <w:r w:rsidR="00A54490" w:rsidRPr="00B517D0">
        <w:t xml:space="preserve">(Chau Chak Wing Museum, 2024) </w:t>
      </w:r>
      <w:r w:rsidRPr="00B517D0">
        <w:t>can</w:t>
      </w:r>
      <w:r>
        <w:t xml:space="preserve"> be read straight against the five federal criteria. It is </w:t>
      </w:r>
      <w:r>
        <w:rPr>
          <w:b/>
        </w:rPr>
        <w:t>novel</w:t>
      </w:r>
      <w:r>
        <w:t xml:space="preserve">: it develops new frameworks for understanding participation barriers in urban sport, investigating how gender, socioeconomic status and spatial design intersect to shape access to skateable infrastructure: an area previously under-researched, particularly in its gender dimension. It is </w:t>
      </w:r>
      <w:r>
        <w:rPr>
          <w:b/>
        </w:rPr>
        <w:t>creative</w:t>
      </w:r>
      <w:r>
        <w:t xml:space="preserve">: it tests an original, non-obvious proposition, that playable sculptural forms can serve the dual function of public art and skateable infrastructure, against the existing typologies of the skate park. It is </w:t>
      </w:r>
      <w:r>
        <w:rPr>
          <w:b/>
        </w:rPr>
        <w:t>uncertain</w:t>
      </w:r>
      <w:r>
        <w:t xml:space="preserve"> in outcome in the methodologically exact sense the criterion intends: the open-ended co-design process meant the specific sculptural forms were not </w:t>
      </w:r>
      <w:r>
        <w:lastRenderedPageBreak/>
        <w:t xml:space="preserve">predetermined but emerged through community consultation, so the result could not be known in advance. It is </w:t>
      </w:r>
      <w:r>
        <w:rPr>
          <w:b/>
        </w:rPr>
        <w:t>systematic</w:t>
      </w:r>
      <w:r>
        <w:t xml:space="preserve">: it runs a rigorous six-stage co-design methodology with structured focus groups, documented in research protocols. And it is </w:t>
      </w:r>
      <w:r>
        <w:rPr>
          <w:b/>
        </w:rPr>
        <w:t>transferable</w:t>
      </w:r>
      <w:r>
        <w:t>: the co-design and ‘playable sculpture’ methodologies have since been taken up by urban planners across several municipalities. The project meets all five criteria, and it does so without any of them being rewritten for the visual arts.</w:t>
      </w:r>
    </w:p>
    <w:p w14:paraId="2FEDFB85" w14:textId="2BC1F7C9" w:rsidR="004A0394" w:rsidRDefault="00000000">
      <w:pPr>
        <w:pStyle w:val="BodyText"/>
      </w:pPr>
      <w:r>
        <w:t xml:space="preserve">If </w:t>
      </w:r>
      <w:r>
        <w:rPr>
          <w:i/>
        </w:rPr>
        <w:t>Art/Skate/Dots</w:t>
      </w:r>
      <w:r>
        <w:t xml:space="preserve"> is the easy case, </w:t>
      </w:r>
      <w:hyperlink r:id="rId8" w:history="1">
        <w:r w:rsidRPr="004E0AE2">
          <w:rPr>
            <w:rStyle w:val="Hyperlink"/>
            <w:i/>
            <w:highlight w:val="yellow"/>
            <w:u w:val="single"/>
          </w:rPr>
          <w:t>Support Structures</w:t>
        </w:r>
      </w:hyperlink>
      <w:r w:rsidRPr="004E0AE2">
        <w:rPr>
          <w:highlight w:val="yellow"/>
        </w:rPr>
        <w:t xml:space="preserve"> </w:t>
      </w:r>
      <w:r w:rsidRPr="00B517D0">
        <w:t>(Sullivan + Strumpf, 2026)</w:t>
      </w:r>
      <w:r>
        <w:t xml:space="preserve"> is the hard one, and it is the more important of the two to test. It is an exhibition of paintings and bronze reliefs in a commercial gallery, with no co-design protocol, no focus groups, no apparatus that resembles social-science research. If the federal criteria can be answered here, they can be answered anywhere in the visual arts. They can. The work is </w:t>
      </w:r>
      <w:r>
        <w:rPr>
          <w:b/>
        </w:rPr>
        <w:t>novel</w:t>
      </w:r>
      <w:r>
        <w:t xml:space="preserve">: it advances a proposition not previously made in the author’s practice or, on the exhibition’s own account, in the canon it intervenes into, whether painting, historically the art of the controlling gaze, can be reconceived to hold and transmit embodied knowledge without requiring physical manipulation from the viewer. It is </w:t>
      </w:r>
      <w:r>
        <w:rPr>
          <w:b/>
        </w:rPr>
        <w:t>creative</w:t>
      </w:r>
      <w:r>
        <w:t xml:space="preserve"> in the criterion’s exact sense, testing an original and non-obvious hypothesis: that formal and material means alone, absent the participatory engagement of the author’s earlier sculpture, can carry an insight previously thought to depend on the body of the viewer. It is </w:t>
      </w:r>
      <w:r>
        <w:rPr>
          <w:b/>
        </w:rPr>
        <w:t>uncertain</w:t>
      </w:r>
      <w:r>
        <w:t xml:space="preserve"> in outcome, though not in the co-design sense: the uncertainty is whether the material strategy would resolve at all, a question genuinely open across the making and settled only in the work itself, not known in advance of it. It is </w:t>
      </w:r>
      <w:r>
        <w:rPr>
          <w:b/>
        </w:rPr>
        <w:t>systematic</w:t>
      </w:r>
      <w:r>
        <w:t xml:space="preserve">: a controlled set of variables (compositional fragmentation, an oxidising bronze-particle surface, the relay between painting, relief and sculpture) tested across a body of work designed to be read against itself, in the manner design research calls the annotated portfolio. And it is </w:t>
      </w:r>
      <w:r>
        <w:rPr>
          <w:b/>
        </w:rPr>
        <w:t>transferable</w:t>
      </w:r>
      <w:r>
        <w:t>, in the form interpretive disciplines already recognise: not a replicable object but a portable frame and a contestable claim, with the curatorial essay accompanying the exhibition constituting the first uptake. The same five criteria are met, from a work that looks nothing like research and everything like art.</w:t>
      </w:r>
    </w:p>
    <w:p w14:paraId="57D6E253" w14:textId="48C68B5C" w:rsidR="004A0394" w:rsidRDefault="00000000">
      <w:pPr>
        <w:pStyle w:val="BodyText"/>
      </w:pPr>
      <w:r>
        <w:t>The contrast between the two examples is the argument</w:t>
      </w:r>
      <w:r w:rsidR="007C0C4B">
        <w:t>:</w:t>
      </w:r>
      <w:r>
        <w:t xml:space="preserve"> </w:t>
      </w:r>
      <w:r>
        <w:rPr>
          <w:i/>
        </w:rPr>
        <w:t>Art/Skate/Dots</w:t>
      </w:r>
      <w:r>
        <w:t xml:space="preserve"> satisfies the federal definition because its method resembles methods the institution already reads; </w:t>
      </w:r>
      <w:r>
        <w:rPr>
          <w:i/>
        </w:rPr>
        <w:t>Support Structures</w:t>
      </w:r>
      <w:r>
        <w:t xml:space="preserve"> satisfies the same definition although its method resembles only itself. Neither exhibition was retooled to pass the test: no protocol was imposed on the gallery show, no thesis appended to the paintings. What made both legible was articulation applied to the practice as it already operated, not a change to the practice. This is the point on which the translation argument stands or falls: </w:t>
      </w:r>
      <w:r w:rsidRPr="007C0C4B">
        <w:rPr>
          <w:highlight w:val="yellow"/>
        </w:rPr>
        <w:t>if only the social-science-shaped creative work could meet the R&amp;D criteria, the criteria would be selecting for resemblance rather than for research, and the field would be right to resist them. That both the participatory project and the studio painting answer the same five questions is what shows the criteria are reading research, not reading method.</w:t>
      </w:r>
    </w:p>
    <w:p w14:paraId="69B56F27" w14:textId="77777777" w:rsidR="004A0394" w:rsidRDefault="00000000">
      <w:pPr>
        <w:pStyle w:val="BodyText"/>
      </w:pPr>
      <w:r>
        <w:t xml:space="preserve">This is the translation argument operating at the federal-definition layer rather than the institutional one, and it matters for two reasons. First, the R&amp;D criteria are arguably the original translation instrument: a generic research definition, applied to creative practice without modification, that the work satisfies on its own terms. The federal system has, in this sense, already been reading creative practice as research whenever a project of this kind has generated Category 1 income. Second, the reading exposes where the evidential work actually falls. Novelty and creativity tend to be legible from the research statement alone, because they are what artists are practised at articulating. </w:t>
      </w:r>
      <w:r>
        <w:lastRenderedPageBreak/>
        <w:t>Uncertainty, systematicity and transferability are routinely present in the work but routinely left unstated, because the defensive habit trains researchers to lead with the work’s difference rather than to name the research dimensions a panel can read. The criteria are met; what is missing is the translation that makes the meeting visible. That is the same gap, at the federal layer, that the NTRO Evidence Template addresses at the institutional one.</w:t>
      </w:r>
    </w:p>
    <w:p w14:paraId="707625AC" w14:textId="77777777" w:rsidR="004A0394" w:rsidRDefault="00000000">
      <w:pPr>
        <w:pStyle w:val="BodyText"/>
      </w:pPr>
      <w:r>
        <w:t>A second-order argument follows from these examples. The categorical distinction between humanities/social sciences and STEM, on which much of the inherited “difference” position depends, is itself a research-framing convenience rather than a description of how research actually operates. Creative practice research, on this view, does not sit between humanities and STEM as a third thing. It sits across both modes of inquiry simultaneously. The studio is both a laboratory in the structural sense (systematic, iterative, propositional, materially tested) and a site of interpretive enquiry, in the sense the humanities use that term: a mode of inquiry that builds a reading or an argument rather than testing a hypothesis against a control. The artwork is both an experimental output and a scholarly contribution. The exhibition is both dissemination and peer review. The discipline that has been positioned as the awkward outlier turns out to be the one that exposes the limits of the institution’s research-framing language. The binary itself is the inheritance, and the binary is inadequate.</w:t>
      </w:r>
    </w:p>
    <w:p w14:paraId="1BF39DD2" w14:textId="15FED4A6" w:rsidR="002460A8" w:rsidRDefault="00000000">
      <w:pPr>
        <w:pStyle w:val="BodyText"/>
      </w:pPr>
      <w:r>
        <w:t>This second-order argument has scope beyond visual arts</w:t>
      </w:r>
      <w:r w:rsidR="00D72951">
        <w:t xml:space="preserve">. </w:t>
      </w:r>
      <w:r>
        <w:t xml:space="preserve">The shared feature is not that a discipline “involves practice”, almost all do, but a more specific one. In most research traditions, the researcher does the inquiry and then reports on it: a sociologist runs a survey and then writes it up, a historian reads an archive and then argues a case in prose, a physicist runs an experiment and then publishes the data. In each case the university can assess the </w:t>
      </w:r>
      <w:r>
        <w:rPr>
          <w:i/>
          <w:iCs/>
        </w:rPr>
        <w:t>report</w:t>
      </w:r>
      <w:r>
        <w:t xml:space="preserve"> on the page without needing to have witnessed the </w:t>
      </w:r>
      <w:r>
        <w:rPr>
          <w:i/>
          <w:iCs/>
        </w:rPr>
        <w:t>doing</w:t>
      </w:r>
      <w:r w:rsidRPr="002460A8">
        <w:t>, and it does</w:t>
      </w:r>
      <w:r>
        <w:t xml:space="preserve">: peer review reads the written account, not the survey being administered or the experiment being run. That is why, across these fields, the thing the field assesses as research is the report, not the doing. </w:t>
      </w:r>
    </w:p>
    <w:p w14:paraId="7F903702" w14:textId="68E45DE9" w:rsidR="004A0394" w:rsidRDefault="00000000">
      <w:pPr>
        <w:pStyle w:val="BodyText"/>
      </w:pPr>
      <w:r w:rsidRPr="002460A8">
        <w:rPr>
          <w:highlight w:val="yellow"/>
        </w:rPr>
        <w:t xml:space="preserve">In a smaller group of disciplines this relation runs the other way: the </w:t>
      </w:r>
      <w:r w:rsidRPr="002460A8">
        <w:rPr>
          <w:i/>
          <w:iCs/>
          <w:highlight w:val="yellow"/>
        </w:rPr>
        <w:t>doing</w:t>
      </w:r>
      <w:r w:rsidRPr="002460A8">
        <w:rPr>
          <w:highlight w:val="yellow"/>
        </w:rPr>
        <w:t xml:space="preserve"> is itself the inquiry, and the artefact the doing produces is itself the research contribution. The studio painter is not preparing materials in order to write about painting; the painting is the contribution.</w:t>
      </w:r>
      <w:r>
        <w:t xml:space="preserve"> The architect is not running a prototype in order to publish a paper about the prototype; the building is the contribution. The clinical psychotherapist is not seeing the patient in order to produce a write-up; the case formulation, refined across the work itself, is the contribution. </w:t>
      </w:r>
      <w:r w:rsidRPr="002460A8">
        <w:rPr>
          <w:highlight w:val="yellow"/>
        </w:rPr>
        <w:t xml:space="preserve">These disciplines share what can be called a </w:t>
      </w:r>
      <w:r w:rsidRPr="002460A8">
        <w:rPr>
          <w:b/>
          <w:bCs/>
          <w:highlight w:val="yellow"/>
        </w:rPr>
        <w:t>practicum</w:t>
      </w:r>
      <w:r w:rsidRPr="002460A8">
        <w:rPr>
          <w:highlight w:val="yellow"/>
        </w:rPr>
        <w:t xml:space="preserve"> structure: </w:t>
      </w:r>
      <w:r w:rsidRPr="002460A8">
        <w:rPr>
          <w:i/>
          <w:iCs/>
          <w:highlight w:val="yellow"/>
        </w:rPr>
        <w:t xml:space="preserve">a site, internal to the discipline’s training and assessment, where the </w:t>
      </w:r>
      <w:r w:rsidRPr="002460A8">
        <w:rPr>
          <w:b/>
          <w:bCs/>
          <w:i/>
          <w:iCs/>
          <w:highlight w:val="yellow"/>
        </w:rPr>
        <w:t>doing</w:t>
      </w:r>
      <w:r w:rsidRPr="002460A8">
        <w:rPr>
          <w:i/>
          <w:iCs/>
          <w:highlight w:val="yellow"/>
        </w:rPr>
        <w:t xml:space="preserve"> is the research</w:t>
      </w:r>
      <w:r w:rsidRPr="002460A8">
        <w:rPr>
          <w:highlight w:val="yellow"/>
        </w:rPr>
        <w:t xml:space="preserve">. The studio, the design crit, the clinic, the workshop, the rehearsal room are all </w:t>
      </w:r>
      <w:r w:rsidRPr="002460A8">
        <w:rPr>
          <w:b/>
          <w:bCs/>
          <w:highlight w:val="yellow"/>
        </w:rPr>
        <w:t>practica</w:t>
      </w:r>
      <w:r w:rsidRPr="002460A8">
        <w:rPr>
          <w:highlight w:val="yellow"/>
        </w:rPr>
        <w:t xml:space="preserve"> in this sense. A practicum discipline is therefore misread by the humanities/STEM binary for a simple reason: that binary assumes the research is the report, and assessing a practicum discipline by assessing what its researchers say about their work, rather than assessing the work itself, is assessing the wrong thing.</w:t>
      </w:r>
      <w:r>
        <w:t xml:space="preserve"> This is the central claim the rest of this section builds on: that peer-reviewed venue, institutional acquisition, and citation (the three sites Section 4 opened with) are how the work itself gets assessed, without needing a report to stand in for it. On this claim the coalition of practicum disciplines is a real, nameable group, not a loose gesture toward disciplines that happen to feel similar. Architecture and design are the strongest cases, the design studio being structurally cognate with the artist’s studio. Engineering </w:t>
      </w:r>
      <w:r>
        <w:lastRenderedPageBreak/>
        <w:t xml:space="preserve">qualifies in its design and prototyping components, where the build itself generates the knowledge; it qualifies only partially, because engineering as a whole also sustains a strong hypothesis-testing research culture that runs on the report model. Computing’s research-through-design tradition, education’s practitioner-research and action-research lineage, and the practitioner-research literatures of the health and helping professions all sit across the supposed binary on the same basis. All of these practicum disciplines remain accountable to their own field's research-quality criteria; the claim is only that, like creative practice research under HERDC, the artefact of practice is what should be read against those criteria, not a report standing in for it. The common ancestor is not a creative-arts idea at all: Schön’s </w:t>
      </w:r>
      <w:r>
        <w:rPr>
          <w:b/>
          <w:bCs/>
          <w:i/>
          <w:iCs/>
        </w:rPr>
        <w:t>reflective practitioner</w:t>
      </w:r>
      <w:r>
        <w:t xml:space="preserve"> (1983, 1987) was worked out across architecture, engineering, planning, management and psychotherapy. What distinguishes these disciplines is not the presence of generative making (that exists in pockets of laboratory science too) but its centrality to how the discipline is structured. Of this group, creative practice research is the discipline that has had to articulate its methodological self-understanding most explicitly, and in the most formal, defensive terms, because it alone was placed under sustained institutional pressure to justify practice as research at all: architecture, engineering and psychotherapy entered the university with professional accreditation structures already in place that took their practicum status for granted, where creative practice research did not. It is therefore well placed to name, on the other disciplines' behalf, a structure they have not had to argue for as explicitly.</w:t>
      </w:r>
    </w:p>
    <w:p w14:paraId="5A9B4DC6" w14:textId="77777777" w:rsidR="004A0394" w:rsidRDefault="00000000">
      <w:pPr>
        <w:pStyle w:val="BodyText"/>
      </w:pPr>
      <w:r>
        <w:t>By “coalition” I mean a set of disciplines whose research is structurally cognate with creative practice research and which face the same misreading by humanities/STEM-shaped metrics. The framework proposed here is not a special case for visual arts. It is a more accurate description of how an entire class of practicum-based research already works, offered to the institution as a translation rather than as a request for accommodation.</w:t>
      </w:r>
    </w:p>
    <w:p w14:paraId="13CEE982" w14:textId="50F8318D" w:rsidR="001F28A2" w:rsidRDefault="00D72951">
      <w:pPr>
        <w:pStyle w:val="BodyText"/>
      </w:pPr>
      <w:r>
        <w:t>A</w:t>
      </w:r>
      <w:r w:rsidR="00000000">
        <w:t xml:space="preserve">t this point, </w:t>
      </w:r>
      <w:r>
        <w:t xml:space="preserve">I’d like to </w:t>
      </w:r>
      <w:r w:rsidR="00000000">
        <w:t>nam</w:t>
      </w:r>
      <w:r>
        <w:t>e</w:t>
      </w:r>
      <w:r w:rsidR="00000000">
        <w:t xml:space="preserve"> the full scope of the research framework the paper is working within, because the equivalence argument made so far has concentrated on the </w:t>
      </w:r>
      <w:r w:rsidR="00000000">
        <w:rPr>
          <w:i/>
          <w:iCs/>
        </w:rPr>
        <w:t>evaluation layer</w:t>
      </w:r>
      <w:r w:rsidR="00000000">
        <w:t xml:space="preserve"> and a reader could reasonably ask whether evaluation is the whole of it. It is not. The university’s research framework operates across three connected layers. </w:t>
      </w:r>
    </w:p>
    <w:p w14:paraId="5438D43B" w14:textId="77777777" w:rsidR="001F28A2" w:rsidRDefault="00000000" w:rsidP="001F28A2">
      <w:pPr>
        <w:pStyle w:val="BodyText"/>
        <w:numPr>
          <w:ilvl w:val="0"/>
          <w:numId w:val="32"/>
        </w:numPr>
      </w:pPr>
      <w:r>
        <w:t xml:space="preserve">The first is the </w:t>
      </w:r>
      <w:r>
        <w:rPr>
          <w:i/>
          <w:iCs/>
        </w:rPr>
        <w:t>definition layer</w:t>
      </w:r>
      <w:r>
        <w:t xml:space="preserve">: the institutional account of what counts as research, drawn from the ARC and OECD definitions and codified in each university’s research policies. This is the layer at which the NTRO/TRO distinction lives, and it is the layer at which the deficit framing was originally encoded. </w:t>
      </w:r>
    </w:p>
    <w:p w14:paraId="6BC88B72" w14:textId="77777777" w:rsidR="001F28A2" w:rsidRDefault="00000000" w:rsidP="001F28A2">
      <w:pPr>
        <w:pStyle w:val="BodyText"/>
        <w:numPr>
          <w:ilvl w:val="0"/>
          <w:numId w:val="32"/>
        </w:numPr>
      </w:pPr>
      <w:r>
        <w:t xml:space="preserve">The second is the </w:t>
      </w:r>
      <w:r>
        <w:rPr>
          <w:i/>
          <w:iCs/>
        </w:rPr>
        <w:t>enactment layer</w:t>
      </w:r>
      <w:r>
        <w:t xml:space="preserve">, the apparatus that resources research and supports it to happen: funding categories, grant schemes, HDR training, research infrastructure, the research clusters and centres discussed in Section 3. </w:t>
      </w:r>
    </w:p>
    <w:p w14:paraId="4B36BD57" w14:textId="77777777" w:rsidR="001F28A2" w:rsidRDefault="00000000" w:rsidP="001F28A2">
      <w:pPr>
        <w:pStyle w:val="BodyText"/>
        <w:numPr>
          <w:ilvl w:val="0"/>
          <w:numId w:val="32"/>
        </w:numPr>
      </w:pPr>
      <w:r>
        <w:t xml:space="preserve">The third is the </w:t>
      </w:r>
      <w:r>
        <w:rPr>
          <w:i/>
          <w:iCs/>
        </w:rPr>
        <w:t>evaluation layer</w:t>
      </w:r>
      <w:r>
        <w:t xml:space="preserve">, the apparatus that judges research after it exists: peer review, citation, impact assessment, quality criteria, the institutional academic-evaluation framework. </w:t>
      </w:r>
    </w:p>
    <w:p w14:paraId="13037D20" w14:textId="079A72E7" w:rsidR="004A0394" w:rsidRDefault="00000000" w:rsidP="001F28A2">
      <w:pPr>
        <w:pStyle w:val="BodyText"/>
      </w:pPr>
      <w:r>
        <w:t xml:space="preserve">The translation argument made in this paper operates principally on the </w:t>
      </w:r>
      <w:r>
        <w:rPr>
          <w:i/>
          <w:iCs/>
        </w:rPr>
        <w:t>evaluation layer</w:t>
      </w:r>
      <w:r>
        <w:t xml:space="preserve">, where the structural equivalences are clearest. The </w:t>
      </w:r>
      <w:r>
        <w:rPr>
          <w:i/>
          <w:iCs/>
        </w:rPr>
        <w:t>enactment layer</w:t>
      </w:r>
      <w:r>
        <w:t xml:space="preserve"> is the subject of Section 3’s cluster argument, where the field’s under-resourcing is shown to be a </w:t>
      </w:r>
      <w:r>
        <w:lastRenderedPageBreak/>
        <w:t xml:space="preserve">consequence of the deficit position. The </w:t>
      </w:r>
      <w:r>
        <w:rPr>
          <w:i/>
          <w:iCs/>
        </w:rPr>
        <w:t>definition layer</w:t>
      </w:r>
      <w:r>
        <w:t xml:space="preserve"> is contested by the methods/</w:t>
      </w:r>
      <w:proofErr w:type="gramStart"/>
      <w:r>
        <w:t>outcomes</w:t>
      </w:r>
      <w:proofErr w:type="gramEnd"/>
      <w:r>
        <w:t xml:space="preserve"> distinction in Section 1, which insists that what happens in the studio is research in the institutional sense, not a discipline-specific category sitting alongside it.</w:t>
      </w:r>
    </w:p>
    <w:p w14:paraId="07E3E016" w14:textId="0DBE0CB6" w:rsidR="004A0394" w:rsidRDefault="00000000" w:rsidP="001F28A2">
      <w:pPr>
        <w:pStyle w:val="BodyText"/>
        <w:numPr>
          <w:ilvl w:val="0"/>
          <w:numId w:val="32"/>
        </w:numPr>
      </w:pPr>
      <w:r>
        <w:t xml:space="preserve">There is also a fourth piece of the apparatus, sitting downstream of all three layers, which the paper should name because it is where the deficit framing is encoded federally. The Higher Education Research Data Collection (HERDC), administered by the Department of Education, is the federal reporting framework that aggregates each university’s research outputs and income annually and feeds the Research Block Grant distribution. HERDC is not part of the evaluation layer in the sense the AEF is; the institution’s evaluation has already occurred by the time a work becomes a HERDC count. But HERDC is where the NTRO/TRO distinction lives as a federal category, and it is therefore the bureaucratic site at which the deficit framing this paper contests is officially encoded. A translation-position paper </w:t>
      </w:r>
      <w:proofErr w:type="gramStart"/>
      <w:r>
        <w:t>has to</w:t>
      </w:r>
      <w:proofErr w:type="gramEnd"/>
      <w:r>
        <w:t xml:space="preserve"> be honest that abandoning the difference framing at the institutional level does not, by itself, abandon it federally. The DDCA’s nomenclature recommendation, which proposes retiring both “NTRO” and “TRO”, would need to be taken up at HERDC for the deficit grammar to be fully abolished. This is a long road, and the paper does not propose to walk it here. What the paper does propose is that the institutional reading of creative practice research (the layer at which assessment, promotion, and resourcing </w:t>
      </w:r>
      <w:proofErr w:type="gramStart"/>
      <w:r>
        <w:t>actually happen</w:t>
      </w:r>
      <w:proofErr w:type="gramEnd"/>
      <w:r>
        <w:t xml:space="preserve"> for individual researchers) can be reformed independently of HERDC’s federal categories, by application of the translation argument to the institutional academic-evaluation framework. The federal reform is downstream of the institutional reform, not a precondition for it.</w:t>
      </w:r>
    </w:p>
    <w:p w14:paraId="4714918C" w14:textId="3D05A4B6" w:rsidR="00711AC1" w:rsidRDefault="00000000">
      <w:pPr>
        <w:pStyle w:val="BodyText"/>
      </w:pPr>
      <w:r>
        <w:t xml:space="preserve">A second clarification within the evaluation layer </w:t>
      </w:r>
      <w:r w:rsidR="00A07405">
        <w:t>is that ‘q</w:t>
      </w:r>
      <w:r>
        <w:t>uality assessment</w:t>
      </w:r>
      <w:r w:rsidR="00A07405">
        <w:t>’</w:t>
      </w:r>
      <w:r>
        <w:t xml:space="preserve"> in any research field happens in three connected places, not one, and noticing the distinction makes the translation argument substantially clearer. </w:t>
      </w:r>
    </w:p>
    <w:p w14:paraId="343FD8DE" w14:textId="77777777" w:rsidR="00711AC1" w:rsidRDefault="00000000" w:rsidP="00711AC1">
      <w:pPr>
        <w:pStyle w:val="BodyText"/>
        <w:numPr>
          <w:ilvl w:val="0"/>
          <w:numId w:val="30"/>
        </w:numPr>
      </w:pPr>
      <w:r>
        <w:t xml:space="preserve">The first place is </w:t>
      </w:r>
      <w:r>
        <w:rPr>
          <w:b/>
          <w:bCs/>
        </w:rPr>
        <w:t>external</w:t>
      </w:r>
      <w:r>
        <w:t xml:space="preserve">, before the work reaches the university. This is where the curator selects, the commissioner commissions, the acquisition committee acquires, the journal accepts, the festival programmes. This is </w:t>
      </w:r>
      <w:r w:rsidRPr="00711AC1">
        <w:rPr>
          <w:i/>
          <w:iCs/>
          <w:highlight w:val="yellow"/>
        </w:rPr>
        <w:t>the quality judgement that the work is significant enough to enter the field’s discourse</w:t>
      </w:r>
      <w:r>
        <w:t xml:space="preserve">. The university does not make this judgement; it reads it. </w:t>
      </w:r>
    </w:p>
    <w:p w14:paraId="20D68EA6" w14:textId="77777777" w:rsidR="00711AC1" w:rsidRDefault="00000000" w:rsidP="00711AC1">
      <w:pPr>
        <w:pStyle w:val="BodyText"/>
        <w:numPr>
          <w:ilvl w:val="0"/>
          <w:numId w:val="30"/>
        </w:numPr>
      </w:pPr>
      <w:r>
        <w:t xml:space="preserve">The second place is </w:t>
      </w:r>
      <w:r>
        <w:rPr>
          <w:b/>
          <w:bCs/>
        </w:rPr>
        <w:t>institutional gatekeeping</w:t>
      </w:r>
      <w:r>
        <w:t xml:space="preserve"> into the research record. This is the NTRO assessment process: the IRMA verification at Sydney, the equivalent at other universities. The question here is not “is this work high quality” but “does this work meet the threshold for inclusion as research”, applying the same HERDC/Frascati test (novel, creative, uncertain, systematic, transferable) set out in full above. </w:t>
      </w:r>
    </w:p>
    <w:p w14:paraId="644908B1" w14:textId="77777777" w:rsidR="00CA1B87" w:rsidRDefault="00000000" w:rsidP="00711AC1">
      <w:pPr>
        <w:pStyle w:val="BodyText"/>
        <w:numPr>
          <w:ilvl w:val="0"/>
          <w:numId w:val="30"/>
        </w:numPr>
      </w:pPr>
      <w:r>
        <w:t xml:space="preserve">The third place is </w:t>
      </w:r>
      <w:r>
        <w:rPr>
          <w:b/>
          <w:bCs/>
        </w:rPr>
        <w:t>internal academic-performance assessment</w:t>
      </w:r>
      <w:r>
        <w:t xml:space="preserve">: promotion panels, performance reviews, internal grant-application assessment. The institutional academic-evaluation framework comes into play here, and so does the question of national versus international significance, mid-career versus senior, leading versus contributing. </w:t>
      </w:r>
    </w:p>
    <w:p w14:paraId="4C186CF4" w14:textId="45BC4FAA" w:rsidR="004A0394" w:rsidRDefault="00000000" w:rsidP="00CA1B87">
      <w:pPr>
        <w:pStyle w:val="BodyText"/>
      </w:pPr>
      <w:r>
        <w:lastRenderedPageBreak/>
        <w:t xml:space="preserve">The translation argument’s claim is that all three places of the quality conversation already operate on creative practice research and have for decades. What the field has not done consistently is name the three places as the same three places that operate on textual </w:t>
      </w:r>
      <w:proofErr w:type="gramStart"/>
      <w:r>
        <w:t>research, and</w:t>
      </w:r>
      <w:proofErr w:type="gramEnd"/>
      <w:r>
        <w:t xml:space="preserve"> insist on the institutional reading being consistent across both.</w:t>
      </w:r>
    </w:p>
    <w:p w14:paraId="2B92A4B1" w14:textId="47E14B1B" w:rsidR="00816979" w:rsidRDefault="00000000">
      <w:pPr>
        <w:pStyle w:val="BodyText"/>
      </w:pPr>
      <w:r>
        <w:t xml:space="preserve">The journal-equivalence point underlying </w:t>
      </w:r>
      <w:proofErr w:type="gramStart"/>
      <w:r>
        <w:t>all of</w:t>
      </w:r>
      <w:proofErr w:type="gramEnd"/>
      <w:r>
        <w:t xml:space="preserve"> this</w:t>
      </w:r>
      <w:r w:rsidR="00A07405">
        <w:t xml:space="preserve"> needs to be stated plainly</w:t>
      </w:r>
      <w:r>
        <w:t xml:space="preserve">, because the question of how quality is established in textual research (a humanities or social-science journal article or monograph, for instance) is the question creative practice is most often asked to answer differently. For textual research, publication in a reputable journal is the quality marker. The university does not re-read the article and assess its quality independently; </w:t>
      </w:r>
      <w:r>
        <w:rPr>
          <w:i/>
          <w:iCs/>
        </w:rPr>
        <w:t>publication</w:t>
      </w:r>
      <w:r>
        <w:t xml:space="preserve"> is the evidence that the work has been judged by experts and found worthy of the public scholarly record. Quality assessment has, in effect, already happened by the time the work appears as a HERDC-eligible output. The same logic applies, structurally, to creative practice. Curatorial selection into a major institutional exhibition is the quality marker for the work, because the curator has already done the expert judgement that the contribution is significant. Acquisition by a state collection is the quality marker, because the acquisition committee has already done the expert judgement that the work merits institutional standing. The university does not need to re-judge the exhibition or the acquisition independently any more than it needs to re-judge a Quarterly Journal of Economics article. The quality judgement is in the selection, and the selection is the evidence. </w:t>
      </w:r>
    </w:p>
    <w:p w14:paraId="6018B8FC" w14:textId="05C682C0" w:rsidR="004A0394" w:rsidRDefault="00000000">
      <w:pPr>
        <w:pStyle w:val="BodyText"/>
      </w:pPr>
      <w:r>
        <w:t xml:space="preserve">What the institutional assessor does is </w:t>
      </w:r>
      <w:r>
        <w:rPr>
          <w:i/>
          <w:iCs/>
        </w:rPr>
        <w:t>verify</w:t>
      </w:r>
      <w:r>
        <w:t xml:space="preserve"> that this selection has happened, read the catalogue and citation evidence to confirm the work has the standing claimed, and apply the institution’s level criteria to determine where the work sits: national or international significance, mid-career or senior trajectory. The internal assessment is not making the quality judgement de novo; it is reading the external markers that signal where the quality judgement was already made. This is exactly how a promotion panel reads a publication record. It does not re-evaluate each article on its merits; it reads the journal standings and the citation counts and forms a view about the trajectory.</w:t>
      </w:r>
    </w:p>
    <w:p w14:paraId="2F7D8E6A" w14:textId="4F3F42E5" w:rsidR="004A0394" w:rsidRDefault="00000000">
      <w:pPr>
        <w:pStyle w:val="BodyText"/>
      </w:pPr>
      <w:r w:rsidRPr="00816979">
        <w:rPr>
          <w:highlight w:val="yellow"/>
        </w:rPr>
        <w:t xml:space="preserve">This raises the question of how institutional standing is established for galleries, museums, biennales and commissioning bodies, given that the visual arts has no equivalent of the impact factor and the ABDC list (the Australian Business Deans Council's ranked list of business and economics journals, widely used elsewhere as a quality proxy). The answer is that journal prestige in textual research is itself </w:t>
      </w:r>
      <w:r w:rsidRPr="00816979">
        <w:rPr>
          <w:i/>
          <w:iCs/>
          <w:highlight w:val="yellow"/>
        </w:rPr>
        <w:t>a socially constructed expert judgement that has been stabilised through repeated use</w:t>
      </w:r>
      <w:r w:rsidRPr="00816979">
        <w:rPr>
          <w:highlight w:val="yellow"/>
        </w:rPr>
        <w:t>. The hierarchy is not literally written down in a single authoritative list; it is held in the working knowledge of senior researchers in each field, who agree on its rough shape with high reliability and who renegotiate it at the margins as the discipline develops.</w:t>
      </w:r>
      <w:r>
        <w:t xml:space="preserve"> The codifications that do exist (the ABDC list, the now-defunct ERA A*/A/B/C rankings, the disciplinary impact-factor games) are codifications of an expert consensus that exists in the community before it exists on paper. They are useful when they support expert reading; they are dangerous when they replace it. A senior assessor draws on the working consensus while reading the substance of a candidate’s actual record. A non-expert who picks up the codification and applies it as a tier-count is doing something different and, as the ERA-rankings episode showed, something the apparatus is not designed to bear. The same kind of consensus exists in the visual arts. It is stable enough that you can predict with high reliability what any panel of senior expert assessors would say if asked. The National Gallery of Australia and the state galleries sit at the top </w:t>
      </w:r>
      <w:r>
        <w:lastRenderedPageBreak/>
        <w:t>tier. Major international institutions (Tate, MoMA, the Whitney, Centre Pompidou) sit alongside or above, depending on context. Substantial state museums and major contemporary art organisations such as the MCA, Heide, ACCA, IMA, Carriageworks and ACMI sit in the next tier and carry significant scholarly weight. Major biennales and triennials carry their own stratified weight, with Venice, documenta and the Whitney Biennial at the top tier, and the Sydney Biennale, the Asia Pacific Triennial and the Adelaide Biennial in the next. Regional galleries, artist-run initiatives and emergent venues are read contextually, with attention to the specific curator, catalogue and critical reception. None of this is uncontested, and none of it is metric-derived; it is expert-stabilised working consensus, exactly as journal prestige is in textual research, and it is good enough most of the time to support a working assessment apparatus when read by senior assessors from the field.</w:t>
      </w:r>
    </w:p>
    <w:p w14:paraId="7ECD3D70" w14:textId="77777777" w:rsidR="004A0394" w:rsidRDefault="00000000">
      <w:pPr>
        <w:pStyle w:val="BodyText"/>
      </w:pPr>
      <w:r>
        <w:t>A specific clarification is worth making about commercial galleries, because they are often misread in this discussion. Commercial galleries are not equivalent to self-publishing. The analogy is mistaken, and it matters. The cleaner comparison is that commercial galleries function like trade publishers with strong editorial programmes. A trade publisher is not the same as a university press, and a book with Penguin Random House is not assessed identically to a book with Oxford University Press. But a Penguin book is not self-published either; it has been editorially selected, professionally produced, and placed in a critical infrastructure that gives it scholarly visibility. The book counts toward research output, but it is read differently from a university press monograph. A commercial gallery solo show is the visual arts equivalent: established commercial galleries with substantial curatorial programmes operate competitive selection, apply substantial curatorial judgement (often by directors who hold curatorial standing in their own right), produce catalogue essays by senior curators and writers, and provide the work with institutional infrastructure that contributes to its scholarly standing over time. They are also, importantly, the gateway through which much work reaches the museum sector: a commercial gallery solo show is often where an acquisition committee first sees the body of work that subsequently enters the state collection. The standing judgement is contextual, not a binary “in or out.” A solo show at an established commercial gallery is read with attention to the gallery’s curatorial reputation, the critical reception of the show, what catalogue essay accompanied it, and whether the work entered public collections through it. A solo show at a less established commercial gallery is read more cautiously. A solo show at a state gallery is read with high confidence because the institutional vouching is heavier and more standardised. This is exactly how an assessor reads textual research: a paper in the Quarterly Journal of Economics is read with high confidence, a paper in a respectable specialised journal is read with attention to its specific arguments and citation pattern, and a paper in a low-tier journal is read with more caution. The standing system is the same kind of stratified, contextual, expert-read system in both cases.</w:t>
      </w:r>
    </w:p>
    <w:p w14:paraId="22BAF617" w14:textId="21DB50C2" w:rsidR="004A0394" w:rsidRDefault="00000000">
      <w:pPr>
        <w:pStyle w:val="BodyText"/>
      </w:pPr>
      <w:r>
        <w:t>The Australian sector has a worked example of how codification of expert consensus can go wrong</w:t>
      </w:r>
      <w:r w:rsidR="00A07405">
        <w:t xml:space="preserve">. </w:t>
      </w:r>
      <w:r>
        <w:t>The ARC introduced ranked journal lists for ERA 2010, with journals graded A</w:t>
      </w:r>
      <w:r>
        <w:rPr>
          <w:i/>
          <w:iCs/>
        </w:rPr>
        <w:t>, A, B and C across approximately twenty thousand titles in discipline-specific tiers calibrated through Research Evaluation Committees with input from the learned academies. The codification was abolished in May 2011 by the then Minister, Senator Kim Carr, on the grounds that the rankings were being misused in precisely the ways the ARC had warned against. Universities were directing academics on where to publish, building A</w:t>
      </w:r>
      <w:r>
        <w:t xml:space="preserve">/A counts into promotion criteria, and informing recruitment decisions through </w:t>
      </w:r>
      <w:r>
        <w:lastRenderedPageBreak/>
        <w:t>journal tier rather than through actual engagement with the research. The rankings had been intended as contextual indicator within an aggregate institutional measure, not as a quality proxy for individual researchers or outputs. The instrument worked, in its design; the failure was instrumentalisation. The tier vocabulary still circulates fifteen years later in promotion conversations and even in some written guidance documents, despite the formal abolition. The episode has become the cautionary reference in NTRO assessment literature, and rightly so. It shows what happens when a framework intended as professional reference is captured as a counting instrument, and it shows that the capture happens through everyday institutional pressures rather than through the deliberate misuse the original framework might have been designed against. Any move to codify a working consensus on institutional standing in the visual arts must reckon with this history, because the same pressures will be present.</w:t>
      </w:r>
    </w:p>
    <w:p w14:paraId="797F8254" w14:textId="77777777" w:rsidR="004A0394" w:rsidRDefault="00000000">
      <w:pPr>
        <w:pStyle w:val="BodyText"/>
      </w:pPr>
      <w:r>
        <w:t>A final qualification within this section, because it would be dishonest to suggest the stratified field is uncontested. The institutional hierarchy in the visual arts is contested politically: by decolonising critique, by feminist art history, by Indigenous-led curatorial practice, by community-engaged practice that does not fit established institutional categories. The contestation is real, and it has done genuine work in reshaping the consensus over time. The defensible move is to acknowledge that the hierarchy is contested politically and that this is a feature of the field rather than a bug. The contestation is itself part of how prestige judgements get made, refined and renegotiated over time. The field is not a poorer evaluator for having this argument; it is a more rigorous one, because the consensus it stabilises is one that has been argued out rather than imposed. The same is true of textual research, where journal rankings are contested for parallel reasons: which presses count, whose voices are heard, what gets canonised and what gets sidelined. The argument made here is not that the hierarchies are objective. It is that they are expert-stabilised, regularly contested, and good enough most of the time to support a working assessment apparatus, provided the apparatus is read by senior assessors from the field who can apply the contextual judgement the system depends on.</w:t>
      </w:r>
    </w:p>
    <w:p w14:paraId="2BB7D6A4" w14:textId="7010957F" w:rsidR="004A0394" w:rsidRDefault="00000000">
      <w:pPr>
        <w:pStyle w:val="BodyText"/>
      </w:pPr>
      <w:r>
        <w:t>This leaves one open question for the field. The visual arts has not yet codified its standing consensus in the way textual research has codified the journal hierarchy. The resistance has been partly political: the contestation discussed above, and the field’s well-founded scepticism toward ranking-style documents that have historically reproduced exclusions. It has also been empirically informed by sector experience: the ERA-rankings episode is direct evidence that codification of expert consensus into ranked instruments is harder than it looks and goes wrong in predictable ways. Any move toward codification has to be designed against the same failure modes. What the apparatus needs, alongside the NTRO Evidence Template (</w:t>
      </w:r>
      <w:r w:rsidRPr="00CC1A71">
        <w:rPr>
          <w:i/>
          <w:iCs/>
        </w:rPr>
        <w:t>introduced below and reproduced in full as Appendix C</w:t>
      </w:r>
      <w:r>
        <w:t xml:space="preserve">), is therefore not a tier list but a different kind of companion document: a guide for the assessor pool rather than a substitute for it. The document’s purpose would be to support senior visual arts assessors in applying expert judgement consistently across the sector: professional development infrastructure for the community of expert assessors, not codification for non-expert tier-counting. It would name categories of institutional standing and give senior assessors a shared reference for how exhibitions, acquisitions and selections at named institutions are typically read in current expert practice. It would be explicit about its own status: expert-stabilised, regularly contested, revisable, designed to support expert reading and not to replace it. It would include, as a matter of design, explicit safeguards against the </w:t>
      </w:r>
      <w:r>
        <w:lastRenderedPageBreak/>
        <w:t>ERA-rankings failure mode: that the document is a contextual indicator and not a quality proxy, that it must not be used in individual promotion decisions as a tier-count, that schools and faculties must not direct researchers’ exhibition strategies on the basis of its categories, and that the document is to be revised on a regular cycle by the peak bodies that author it. Co-authored with the disciplinary peak bodies and with Indigenous research leadership, such a document would do something narrower and more useful than the ERA rankings attempted: not make the consensus legible to non-experts who would then apply it, but make the consensus reliable for the senior assessors who already work with it. The template provides the apparatus for organising evidence; the reference document supports the expert assessor who reads that evidence. Together they would constitute a translation infrastructure designed against the failure modes the sector has already demonstrated.</w:t>
      </w:r>
    </w:p>
    <w:p w14:paraId="46B20A4C" w14:textId="56D2D2CF" w:rsidR="004A0394" w:rsidRDefault="00000000">
      <w:pPr>
        <w:pStyle w:val="BodyText"/>
      </w:pPr>
      <w:r>
        <w:t xml:space="preserve">It </w:t>
      </w:r>
      <w:r w:rsidR="00A07405">
        <w:t>may help</w:t>
      </w:r>
      <w:r>
        <w:t xml:space="preserve"> being precise about how these instruments relate to one another, since the paper now refers to several and it is easy to conflate them. The NTRO Evidence Template is discipline-specific: it organises evidence for the seven creative-practice output categories this paper works with. The companion reference document just described would also be discipline-specific, built for visual arts assessors and structured around the same categories. Neither is the Research Ecology Map, a separate, discipline-agnostic tool that maps the University's research lifecycle as a whole, across pre-award, award and execution, and post-award stages; it locates where translation work of any kind (this paper's included) sits within that lifecycle, but it does not itself organise evidence or assess quality. The three instruments sit at different points: the Ecology Map orients a researcher or assessor within the institution's research lifecycle; the Template and the reference document do the discipline-specific evidentiary and interpretive work once that orientation is established.</w:t>
      </w:r>
    </w:p>
    <w:p w14:paraId="3741F2B5" w14:textId="77777777" w:rsidR="004A0394" w:rsidRDefault="00000000">
      <w:pPr>
        <w:pStyle w:val="Heading1"/>
      </w:pPr>
      <w:bookmarkStart w:id="5" w:name="translation-as-method"/>
      <w:bookmarkEnd w:id="4"/>
      <w:r>
        <w:t xml:space="preserve">5. Translation as </w:t>
      </w:r>
      <w:r>
        <w:rPr>
          <w:i/>
          <w:iCs/>
        </w:rPr>
        <w:t>method</w:t>
      </w:r>
    </w:p>
    <w:p w14:paraId="7808CF36" w14:textId="77777777" w:rsidR="004A0394" w:rsidRDefault="00000000">
      <w:pPr>
        <w:pStyle w:val="FirstParagraph"/>
      </w:pPr>
      <w:r>
        <w:t>Translation is not assimilation, and the distinction matters because the equivalence vocabulary this paper adopts has a difficult precedent. Sullivan (2009), writing as the equivalence question was being negotiated at the policy level, mounted the most sustained critique of equivalence as a strategy. His objection was not that creative practice fails to meet the standard of research. It was that the “research equivalent activity” move of the 1990s (Strand, 1998) positioned the field relative to criteria it did not control, leaving the terms of entry “fully controlled by those granting entry.” Sullivan’s critique reached both method and output, and the harm he traced was principally methodological</w:t>
      </w:r>
      <w:r w:rsidRPr="00A643FA">
        <w:rPr>
          <w:highlight w:val="yellow"/>
        </w:rPr>
        <w:t>: to make their outputs legible as equivalent, art schools imported the research conventions of other fields, until the policies bore “little resemblance to research and inquiry that is grounded in art practice,” producing at best “poor social science and poor art.” This critique remains live.</w:t>
      </w:r>
      <w:r>
        <w:t xml:space="preserve"> It has been put to me directly, by a colleague whose objections I take seriously and have grappled with at length, in a form that bears repeating because it sharpens what is at stake: that equivalence arguments can set up, in reverse, the same opposition they aim to dissolve, namely that </w:t>
      </w:r>
      <w:r w:rsidRPr="00A643FA">
        <w:rPr>
          <w:highlight w:val="yellow"/>
        </w:rPr>
        <w:t>a move to align creative practice with empirical research can collapse the philosophical, pedagogical and epistemological differences that make the work what it is.</w:t>
      </w:r>
    </w:p>
    <w:p w14:paraId="0AA05E68" w14:textId="6ED3D965" w:rsidR="00A643FA" w:rsidRDefault="00000000">
      <w:pPr>
        <w:pStyle w:val="BodyText"/>
      </w:pPr>
      <w:r>
        <w:t xml:space="preserve">Three stakes are usually identified. </w:t>
      </w:r>
    </w:p>
    <w:p w14:paraId="62AA704A" w14:textId="77777777" w:rsidR="00A643FA" w:rsidRDefault="00000000" w:rsidP="00A643FA">
      <w:pPr>
        <w:pStyle w:val="BodyText"/>
        <w:numPr>
          <w:ilvl w:val="0"/>
          <w:numId w:val="33"/>
        </w:numPr>
      </w:pPr>
      <w:r>
        <w:lastRenderedPageBreak/>
        <w:t xml:space="preserve">The first is </w:t>
      </w:r>
      <w:r>
        <w:rPr>
          <w:b/>
          <w:bCs/>
        </w:rPr>
        <w:t>pedagogical</w:t>
      </w:r>
      <w:r>
        <w:t xml:space="preserve">. Doctoral candidates in creative practice are inducted into a particular relationship between making and inquiry, one in which the studio is the site of the research, the work is the contribution, and the candidate’s training is built around the development of practice rather than around the development of textual scholarship. An equivalence argument that ends up reshaping the doctoral programme to look more like a humanities-PhD programme (exegesis-heavy, theory-first, with the practice arranged in support of a written argument) would betray that training. This is a real risk, and it is what the colleague’s objection most directly defends against. </w:t>
      </w:r>
    </w:p>
    <w:p w14:paraId="623DEE5A" w14:textId="77777777" w:rsidR="00A643FA" w:rsidRDefault="00000000" w:rsidP="00A643FA">
      <w:pPr>
        <w:pStyle w:val="BodyText"/>
        <w:numPr>
          <w:ilvl w:val="0"/>
          <w:numId w:val="33"/>
        </w:numPr>
      </w:pPr>
      <w:r>
        <w:t xml:space="preserve">The second is </w:t>
      </w:r>
      <w:r>
        <w:rPr>
          <w:b/>
          <w:bCs/>
        </w:rPr>
        <w:t>epistemological</w:t>
      </w:r>
      <w:r>
        <w:t xml:space="preserve">. The studio generates a particular kind of knowledge, materially produced and held in the artefact, and the argument is that this knowledge is not reducible to the propositional, articulable form that empirical research treats as the standard. An equivalence argument that succeeded only by re-describing the studio’s knowledge in propositional terms would lose what is distinctive about it. </w:t>
      </w:r>
    </w:p>
    <w:p w14:paraId="05023312" w14:textId="3FA2C3CA" w:rsidR="004A0394" w:rsidRDefault="00000000" w:rsidP="00A643FA">
      <w:pPr>
        <w:pStyle w:val="BodyText"/>
        <w:numPr>
          <w:ilvl w:val="0"/>
          <w:numId w:val="33"/>
        </w:numPr>
      </w:pPr>
      <w:r>
        <w:t xml:space="preserve">The third is </w:t>
      </w:r>
      <w:r>
        <w:rPr>
          <w:b/>
          <w:bCs/>
        </w:rPr>
        <w:t>methodological</w:t>
      </w:r>
      <w:r>
        <w:t>. The studio does not run on hypothesis-test-publish; it runs on a different procedural logic, and the objection holds that flattening that logic to fit the academic frame would damage the inquiry. All three stakes are real, and I do not propose that the paper’s argument waves them away.</w:t>
      </w:r>
    </w:p>
    <w:p w14:paraId="096F0983" w14:textId="77777777" w:rsidR="00B70D07" w:rsidRDefault="00000000">
      <w:pPr>
        <w:pStyle w:val="BodyText"/>
      </w:pPr>
      <w:r>
        <w:t xml:space="preserve">The warning is right, and the paper would be weaker if I did not engage it head-on. Here is the claim, stated plainly: what happens in the studio is systematic, iterative, propositional and materially tested, and in that structural sense it is cognate with empirical inquiry in any discipline. That much I will not retreat from; it is true to the work as I and many colleagues practise it, and it is the point Section 4 demonstrates. What I do </w:t>
      </w:r>
      <w:r>
        <w:rPr>
          <w:i/>
          <w:iCs/>
        </w:rPr>
        <w:t>not claim</w:t>
      </w:r>
      <w:r>
        <w:t xml:space="preserve">, and what the careful objection accuses the equivalence position of claiming, is that the studio is procedurally identical to a laboratory. It is </w:t>
      </w:r>
      <w:r>
        <w:rPr>
          <w:i/>
          <w:iCs/>
        </w:rPr>
        <w:t>not</w:t>
      </w:r>
      <w:r>
        <w:t xml:space="preserve">. </w:t>
      </w:r>
      <w:r w:rsidRPr="00B70D07">
        <w:rPr>
          <w:highlight w:val="yellow"/>
        </w:rPr>
        <w:t>The studio does not test pre-formed hypotheses under controlled conditions;</w:t>
      </w:r>
      <w:r>
        <w:t xml:space="preserve"> it works with and through propositions, often generating the proposition through the making rather than bringing one to it, and tests those propositions materially against the constraints of medium, site, and reception. In short: structural kinship, not procedural identity. </w:t>
      </w:r>
    </w:p>
    <w:p w14:paraId="5DE5B153" w14:textId="77777777" w:rsidR="00B70D07" w:rsidRDefault="00000000">
      <w:pPr>
        <w:pStyle w:val="BodyText"/>
      </w:pPr>
      <w:r>
        <w:t xml:space="preserve">The Sullivan objection is right that procedural-identity claims collapse the discipline; this paper does not make procedural-identity claims. </w:t>
      </w:r>
    </w:p>
    <w:p w14:paraId="55F2085B" w14:textId="77777777" w:rsidR="00B70D07" w:rsidRDefault="00000000" w:rsidP="00B70D07">
      <w:pPr>
        <w:pStyle w:val="BodyText"/>
        <w:numPr>
          <w:ilvl w:val="0"/>
          <w:numId w:val="30"/>
        </w:numPr>
      </w:pPr>
      <w:r>
        <w:t xml:space="preserve">On the pedagogical stake, the translation argument does not require an exegesis-heavy doctoral programme; the worked examples in Section 4 show that translation operates on documents the field already produces (catalogues, programmes, curatorial essays) rather than on supplementary textual apparatus appended to the work. </w:t>
      </w:r>
    </w:p>
    <w:p w14:paraId="0842D968" w14:textId="77777777" w:rsidR="00B70D07" w:rsidRDefault="00000000" w:rsidP="00B70D07">
      <w:pPr>
        <w:pStyle w:val="BodyText"/>
        <w:numPr>
          <w:ilvl w:val="0"/>
          <w:numId w:val="30"/>
        </w:numPr>
      </w:pPr>
      <w:r>
        <w:t xml:space="preserve">On the epistemological stake, the knowledge is generated in the studio, on the studio’s own terms, and is articulated for assessment without being re-described into propositional form; the appendix sets out this distinction between where knowledge is generated and where it is articulated in full. </w:t>
      </w:r>
    </w:p>
    <w:p w14:paraId="406DF4F5" w14:textId="413779A7" w:rsidR="004A0394" w:rsidRDefault="00000000" w:rsidP="00B70D07">
      <w:pPr>
        <w:pStyle w:val="BodyText"/>
        <w:numPr>
          <w:ilvl w:val="0"/>
          <w:numId w:val="30"/>
        </w:numPr>
      </w:pPr>
      <w:r>
        <w:t xml:space="preserve">On the methodological stake, structural kinship rather than procedural identity is, again, the whole of the answer. The objection asks the paper to be careful, and </w:t>
      </w:r>
      <w:r>
        <w:lastRenderedPageBreak/>
        <w:t>the paper is being careful. It is not asking the studio to become something else; it is asking the institution to read what the studio already is.</w:t>
      </w:r>
    </w:p>
    <w:p w14:paraId="555B366A" w14:textId="7AC060C7" w:rsidR="004A0394" w:rsidRDefault="00000000">
      <w:pPr>
        <w:pStyle w:val="BodyText"/>
      </w:pPr>
      <w:r>
        <w:t xml:space="preserve">Direction is what separates this from the move Sullivan attacked. His target was importation: the studio reshaped to social-science conventions, the output reshaped to a template the field did not author. The claim here is the reverse: recognition of what studio inquiry and creative practice outputs already do, redescribed in terms the institution can read. Curatorial selection is not made to resemble peer review; it already performs the function peer review performs. The studio is not retooled as a laboratory; it is recognised as already conducting a systematic, materially grounded mode of inquiry, on its own terms. Because translation describes a process the studio already runs, rather than importing one from outside, it does not carry the colonising risk Sullivan warned against. Where this paper parts company with Sullivan is narrower: </w:t>
      </w:r>
      <w:r>
        <w:rPr>
          <w:i/>
          <w:iCs/>
        </w:rPr>
        <w:t xml:space="preserve">he </w:t>
      </w:r>
      <w:proofErr w:type="spellStart"/>
      <w:r>
        <w:rPr>
          <w:i/>
          <w:iCs/>
        </w:rPr>
        <w:t>characterises</w:t>
      </w:r>
      <w:proofErr w:type="spellEnd"/>
      <w:r>
        <w:rPr>
          <w:i/>
          <w:iCs/>
        </w:rPr>
        <w:t xml:space="preserve"> practice-led inquiry as running only “from the unknown to the known,”</w:t>
      </w:r>
      <w:r>
        <w:t xml:space="preserve"> with </w:t>
      </w:r>
      <w:r>
        <w:rPr>
          <w:i/>
          <w:iCs/>
        </w:rPr>
        <w:t>making</w:t>
      </w:r>
      <w:r>
        <w:t xml:space="preserve"> always the generative driver and never the instrument of a prior proposition. The evidence of practice is more mixed (</w:t>
      </w:r>
      <w:r w:rsidRPr="00451F0D">
        <w:rPr>
          <w:highlight w:val="yellow"/>
        </w:rPr>
        <w:t>studio inquiry runs in both directions, sometimes generating the proposition through the making and sometimes bringing one to it) and that two-directionality is part of what makes it cognate with the full range of empirical research, which spans both humanities/social-science inquiry and STEM and is, across that whole range, likewise not monolithically one or the other.</w:t>
      </w:r>
      <w:r>
        <w:t xml:space="preserve"> Sullivan’s own proposal, that the similarities and differences between practice-led research and traditional inquiry be “cogently argued” rather than assumed, is the proposal this paper attempts to meet.</w:t>
      </w:r>
    </w:p>
    <w:p w14:paraId="08CB9DA5" w14:textId="77777777" w:rsidR="00E026FF" w:rsidRDefault="00E026FF">
      <w:pPr>
        <w:pStyle w:val="BodyText"/>
      </w:pPr>
      <w:r>
        <w:t xml:space="preserve">Sydney College of the Arts and the FASS NTRO Working Group have developed a working example of what translation looks like at the operational level. It is offered here as a worked example rather than as a claim that the specific instrument travels unchanged to other institutions or disciplines: the categories are built from the visual arts, but the underlying method, naming the AEF clauses that already </w:t>
      </w:r>
      <w:proofErr w:type="spellStart"/>
      <w:r>
        <w:t>recognise</w:t>
      </w:r>
      <w:proofErr w:type="spellEnd"/>
      <w:r>
        <w:t xml:space="preserve"> each category's scholarly equivalent, is directly transferable to the other practicum disciplines named above. The practicum coalition spans architecture and design (design studio, closest to the artist's studio), engineering (only in its design and prototyping work, not its hypothesis-testing side), computing (research-through-design), education and the health and helping professions (both via practitioner-research and action-research traditions), and planning, management and psychotherapy (named through Schön's reflective practitioner); each would need its own categories built the same way.</w:t>
      </w:r>
    </w:p>
    <w:p w14:paraId="2017877A" w14:textId="77777777" w:rsidR="00376943" w:rsidRDefault="00000000">
      <w:pPr>
        <w:pStyle w:val="BodyText"/>
      </w:pPr>
      <w:r>
        <w:t>The</w:t>
      </w:r>
      <w:r w:rsidR="004851AC">
        <w:t xml:space="preserve"> SCA’s</w:t>
      </w:r>
      <w:r>
        <w:t xml:space="preserve"> </w:t>
      </w:r>
      <w:r w:rsidRPr="004851AC">
        <w:rPr>
          <w:i/>
          <w:iCs/>
        </w:rPr>
        <w:t xml:space="preserve">NTRO Evidence Template </w:t>
      </w:r>
      <w:r>
        <w:t xml:space="preserve">(Mestrom and FASS NTRO Working Group, 2026) maps seven categories of creative practice output (major solo exhibition, curatorial selection into a major group exhibition, competitive commissioning, institutional acquisition, publication with a recognised press, programming into festival or broadcast, and citation over time) to the scholarly evaluation framework already endorsed by the FASS Academic Excellence Framework (2024). </w:t>
      </w:r>
    </w:p>
    <w:p w14:paraId="2743716D" w14:textId="01EA99B6" w:rsidR="004A0394" w:rsidRDefault="0069225F">
      <w:pPr>
        <w:pStyle w:val="BodyText"/>
      </w:pPr>
      <w:r>
        <w:t>These seven categories are a more granular, evidentiary elaboration of the three sites of structural cognation Section 4 opens with (curatorial selection, acquisition, and citation): each category specifies what counts as evidence for a particular kind of creative practice output within one of those three functions.</w:t>
      </w:r>
      <w:r>
        <w:t xml:space="preserve"> </w:t>
      </w:r>
      <w:r w:rsidR="00000000">
        <w:t xml:space="preserve">The template’s two-column structure presents each category alongside its scholarly equivalence, with direct citation to the AEF clauses that already support the recognition. Its function is to make </w:t>
      </w:r>
      <w:r w:rsidR="00000000">
        <w:lastRenderedPageBreak/>
        <w:t>the equivalence machinery legible in everyday assessment, so that creative practice researchers do not have to argue for the legitimacy of their work each time it is assessed.</w:t>
      </w:r>
    </w:p>
    <w:p w14:paraId="6163322B" w14:textId="17834455" w:rsidR="004A0394" w:rsidRDefault="000C75BC">
      <w:pPr>
        <w:pStyle w:val="BodyText"/>
      </w:pPr>
      <w:r>
        <w:t>I</w:t>
      </w:r>
      <w:r w:rsidR="00000000">
        <w:t xml:space="preserve">f the template does not invent new evaluation criteria, where does the quality judgement </w:t>
      </w:r>
      <w:proofErr w:type="gramStart"/>
      <w:r w:rsidR="00000000">
        <w:t>actually get</w:t>
      </w:r>
      <w:proofErr w:type="gramEnd"/>
      <w:r w:rsidR="00000000">
        <w:t xml:space="preserve"> made? The template does three distinct things, and the distinction between them is what answers the question. First, it tells the assessor what evidence to look for in each output category. For a major solo exhibition, that means: documentation of curatorial selection into the venue, the catalogue essay positioning the work in its discourse, attendance and uptake figures, subsequent re-exhibition or acquisition, citation in critical writing or in subsequent practice. Second, it tells the assessor what scholarly function each piece of evidence performs. The curatorial selection functions as peer review; the catalogue essay functions as scholarly framing of the contribution; the subsequent re-exhibition or citation functions as uptake. Third, it tells the assessor which clauses of the existing AEF criteria are activated by each piece of evidence, so that the institution’s own evaluation framework can be applied directly to the work without translation occurring twice. The template is the bridge between the creative practice output and the scholarly evaluation framework the university already holds.</w:t>
      </w:r>
    </w:p>
    <w:p w14:paraId="35889814" w14:textId="77777777" w:rsidR="004A0394" w:rsidRDefault="00000000">
      <w:pPr>
        <w:pStyle w:val="BodyText"/>
      </w:pPr>
      <w:r>
        <w:rPr>
          <w:i/>
          <w:iCs/>
        </w:rPr>
        <w:t xml:space="preserve">What the template does </w:t>
      </w:r>
      <w:r w:rsidRPr="002D5C15">
        <w:rPr>
          <w:b/>
          <w:bCs/>
          <w:i/>
          <w:iCs/>
        </w:rPr>
        <w:t>not</w:t>
      </w:r>
      <w:r>
        <w:rPr>
          <w:i/>
          <w:iCs/>
        </w:rPr>
        <w:t xml:space="preserve"> do is decide quality</w:t>
      </w:r>
      <w:r>
        <w:t>. The quality judgement is the assessor’s, made against the AEF criteria the institution already holds: is the work of high impact, is it nationally or internationally significant, does it clearly advance the field, is the body of evidence appropriate for the level being claimed. The template provides the scaffolding within which the judgement is made: it tells the assessor what evidence to look at and how to read it, but the assessor still has to ask the AEF’s questions and reach the AEF’s answers. The line between research and skilled professional practice is drawn by the assessor at the point of judgement, on the field’s terms, with the template as the framework against which the judgement is reached and not in place of it.</w:t>
      </w:r>
    </w:p>
    <w:p w14:paraId="543F05CA" w14:textId="6CB6E5C3" w:rsidR="004A0394" w:rsidRDefault="000C75BC">
      <w:pPr>
        <w:pStyle w:val="BodyText"/>
      </w:pPr>
      <w:r>
        <w:t>T</w:t>
      </w:r>
      <w:r w:rsidR="00000000">
        <w:t>he question of who is fit to judge, and how a high-quality work is distinguished from an average one, is reasonable to ask. The assessor is an external blind reviewer drawn from a curated pool of senior researchers in the relevant field, administered at Sydney through IRMA. Fitness to judge is established the same way it is established for journal peer review: by track record, by institutional standing, by demonstrable expertise in the area the work occupies. Assessors who produce idiosyncratic or unreliable judgements are removed from the pool, just as they would be from a journal’s reviewer list. This is the same apparatus the institution uses for textual research; it is not different in kind. The distinction between a high-quality work and an average one is then drawn the way it is for any research contribution: a high-quality work generates evidence that is clear, substantial and demonstrably nationally or internationally significant; an average-quality work generates evidence that is present but thin, significant locally without national reach, or technically competent without clearly advancing the field. The assessor distinguishes them on the same basis that a journal editor distinguishes a strong submission from a weak one: expert judgement about the substance and reach of the contribution, applied against criteria the institution has already set. There is no abstract quality matrix in textual research either, and the university accepts that because the apparatus is invisible and familiar. The template makes the same apparatus available to creative practice research.</w:t>
      </w:r>
    </w:p>
    <w:p w14:paraId="10CDFE03" w14:textId="10EBFABD" w:rsidR="004A0394" w:rsidRDefault="00A07405">
      <w:pPr>
        <w:pStyle w:val="BodyText"/>
      </w:pPr>
      <w:r>
        <w:lastRenderedPageBreak/>
        <w:t>T</w:t>
      </w:r>
      <w:r w:rsidR="00000000">
        <w:t>his depends on the quality of the assessor pool. If creative practice research is assessed by reviewers who do not have the disciplinary expertise to read curatorial selection as peer review and acquisition as institutional impact, the judgement will be unreliable. McKee’s (2020) finding can be read partly in this light: when expert assessors do not agree, the disagreement may reflect not only differences in evaluative criteria but also unevenness in the pool’s familiarity with the apparatus the template makes available. Building a robust assessor pool, one in which senior creative practice researchers consistently know how to read the evidence the template organises, is part of what the translation argument requires. The template makes the apparatus available; the pool makes the apparatus reliable. A competent professional output, on its own, will not generate the evidence of curatorial selection, scholarly framing and ongoing uptake that the template asks for; a research contribution will. The template helps the assessor see whether that evidence is there. It does not pre-judge whether the work is research, and it does not assess quality. Those remain where they have always belonged: in the assessor’s expert judgement, applied against the AEF the institution already holds. The full template is reproduced as Appendix C.</w:t>
      </w:r>
    </w:p>
    <w:p w14:paraId="49967495" w14:textId="77777777" w:rsidR="004A0394" w:rsidRDefault="00000000">
      <w:pPr>
        <w:pStyle w:val="BodyText"/>
      </w:pPr>
      <w:r>
        <w:t>The template has been piloted at Sydney College of the Arts and is in use as part of the school’s NTRO assessment process. It applies existing scholarly criteria to creative practice outputs by naming the structural equivalences that already exist between, for example, a major solo exhibition and a single-author scholarly monograph, or between competitive commissioning and competitive research grant assessment. The work is the work the institution already does for textual scholarship; the template is what makes that work available to creative practice research as well.</w:t>
      </w:r>
    </w:p>
    <w:p w14:paraId="2C035A83" w14:textId="77777777" w:rsidR="004A0394" w:rsidRDefault="00000000">
      <w:pPr>
        <w:pStyle w:val="BodyText"/>
      </w:pPr>
      <w:r>
        <w:t>A working translation of this kind is not the final word. It is a first instrument. The strategic claim of this paper is that instruments of this kind (translation tools, not discipline-specific frameworks) are the productive way forward. They preserve the scholarly seriousness of creative practice research, articulate its existing structural equivalences with other research traditions, and offer the institution a more accurate description of how cross-paradigm research already operates. They do not require the institution to learn a new framework. They require the institution to apply the framework it already holds, with the appropriate translation labour.</w:t>
      </w:r>
    </w:p>
    <w:p w14:paraId="17B41A06" w14:textId="77777777" w:rsidR="004A0394" w:rsidRDefault="00000000">
      <w:pPr>
        <w:pStyle w:val="BodyText"/>
      </w:pPr>
      <w:r>
        <w:t>This is also where the template answers the concrete form equivalence-by-resemblance has historically taken. Sullivan’s own example was the solo exhibition made to count as though it were a book chapter; the pattern recurs wherever creative practice is required to produce textual scholarship’s outputs in order to register as research: the doctoral exegesis appended to the exhibition, the journal article that explains the artwork. The NTRO Evidence Template requires none of this. The exhibition stays an exhibition, the catalogue stays a catalogue, the artwork stays an artwork; what the template changes is only how those outputs are read against the scholarly evaluation framework the institution already holds.</w:t>
      </w:r>
    </w:p>
    <w:p w14:paraId="73572820" w14:textId="77777777" w:rsidR="004A0394" w:rsidRDefault="00000000">
      <w:pPr>
        <w:pStyle w:val="BodyText"/>
      </w:pPr>
      <w:r>
        <w:t xml:space="preserve">Two cases from the author’s own practice show the articulation discipline at work, and they are chosen to differ. The first is a case where the research method happens to resemble conventional social-science inquiry; the second is a case where the method resembles nothing but itself. The point of the contrast is this: a single field, creative practice research, produces work whose research dimensions can be articulated regardless of how closely the method resembles other disciplines. The articulation </w:t>
      </w:r>
      <w:r>
        <w:lastRenderedPageBreak/>
        <w:t>discipline is what travels between them. The work does not have to look like social science to be readable as research; it has to be articulated.</w:t>
      </w:r>
    </w:p>
    <w:p w14:paraId="71AB4C8E" w14:textId="77777777" w:rsidR="004A0394" w:rsidRDefault="00000000">
      <w:pPr>
        <w:pStyle w:val="BodyText"/>
      </w:pPr>
      <w:r>
        <w:t>The Art/Skate/Dots project (2024) is the resembling case. It investigated how gender, socioeconomic status and spatial design intersect to shape access to skateable urban infrastructure, testing the proposition that playable sculptural forms could function as both public art and skateable infrastructure. It proceeded through a documented six-stage co-design methodology with structured focus groups, and the co-design framework it produced was subsequently adopted by urban planners across several municipalities. Stated this way, the project answers the four questions any scholarly contribution must answer: the new knowledge is specifiable (playable sculptural forms can carry both functions under the conditions documented), the prior conversation is named, the systematic process is documented, and the transferability is demonstrated by uptake. The project reads as research because, in its method, it looks like research of a kind the institution already recognises. That is what makes it the easy case.</w:t>
      </w:r>
    </w:p>
    <w:p w14:paraId="53A4EA3B" w14:textId="77777777" w:rsidR="004A0394" w:rsidRDefault="00000000">
      <w:pPr>
        <w:pStyle w:val="BodyText"/>
      </w:pPr>
      <w:r>
        <w:t>Support Structures (Sullivan + Strumpf, 2026) is the hard case. It is an exhibition of paintings and bronze reliefs in a commercial gallery, with no co-design protocol, no focus groups, no apparatus that resembles social-science research. Yet the same four questions are answerable, and answerable from the exhibition’s own documentation. The research question is stated: whether painting, historically the art of the controlling gaze, can be reconceived to hold and transmit embodied knowledge without requiring physical manipulation from the viewer. The prior conversation is named twice over: an explicit internal genealogy running from the author’s doctoral research on the embodied gaze, through participatory sculpture that required physical engagement, to this exhibition’s test of whether formal and material means alone can carry the same insight; and an explicit external intervention into modernism’s visual languages and the canon represented in the Berggruen collection. The systematic process is real but material rather than procedural: a controlled set of variables (compositional fragmentation, an oxidising bronze-particle surface, the relay between painting, relief and sculpture) tested across a body of work designed to be read against itself, in the manner design research calls the annotated portfolio. The transferability is of the kind interpretive disciplines already recognise: not a replicable object but a portable frame and a contestable claim, with the curatorial essay accompanying the exhibition constituting uptake.</w:t>
      </w:r>
    </w:p>
    <w:p w14:paraId="78BAC301" w14:textId="77777777" w:rsidR="004A0394" w:rsidRDefault="00000000">
      <w:pPr>
        <w:pStyle w:val="BodyText"/>
      </w:pPr>
      <w:r>
        <w:t>The take-away is the contrast. Art/Skate/Dots passes as research because its method resembles methods the institution already reads. Support Structures passes as research although its method resembles only itself. Neither exhibition was retooled to achieve this. No protocol was imposed on the gallery show; no thesis appended to the artwork. What produced the legibility in both cases was articulation (the catalogue, the genealogy, the stated question, the documented uptake) applied to the practice as it already operated. The articulation discipline travels; the resemblance does not need to.</w:t>
      </w:r>
    </w:p>
    <w:p w14:paraId="2FD7FAF2" w14:textId="77777777" w:rsidR="004A0394" w:rsidRDefault="00000000">
      <w:pPr>
        <w:pStyle w:val="BodyText"/>
      </w:pPr>
      <w:r>
        <w:t>The principal objections this argument must answer (that tacit knowledge cannot be assessed, that equivalence colonises the practice, that the studio is not a laboratory) are set out directly, with responses, in Appendix A.</w:t>
      </w:r>
    </w:p>
    <w:p w14:paraId="0BC2D9E1" w14:textId="77777777" w:rsidR="004A0394" w:rsidRDefault="00000000">
      <w:pPr>
        <w:pStyle w:val="Heading1"/>
      </w:pPr>
      <w:bookmarkStart w:id="6" w:name="discussion"/>
      <w:bookmarkEnd w:id="5"/>
      <w:r>
        <w:lastRenderedPageBreak/>
        <w:t>6. Discussion</w:t>
      </w:r>
    </w:p>
    <w:p w14:paraId="4D2D368C" w14:textId="77777777" w:rsidR="004A0394" w:rsidRDefault="00000000">
      <w:pPr>
        <w:pStyle w:val="FirstParagraph"/>
      </w:pPr>
      <w:r>
        <w:t>The position developed in this paper is offered with full awareness of the field-level debate it joins. Glisovic and Batty (2026) represent the most sophisticated articulation of the sector consensus, and the sector consensus has been hard-won. I do not propose that the DDCA framework is wrong. I propose that it inherits a strategic position that has, after three decades, become a structural impediment to the field’s progress, and that an alternative strategic position now warrants serious consideration.</w:t>
      </w:r>
    </w:p>
    <w:p w14:paraId="5A928056" w14:textId="77777777" w:rsidR="004A0394" w:rsidRDefault="00000000">
      <w:pPr>
        <w:pStyle w:val="BodyText"/>
      </w:pPr>
      <w:r>
        <w:t>There are three points of substantial agreement with the DDCA framework that should be named. First, the framework’s insistence on creative practice research as serious scholarly work is shared. Second, its refusal of STEM-shaped metrics applied without discrimination is shared. Third, its commitment to the field’s representation at government and institutional levels is shared. Writing as an independent industry expert and Research Director at Sydney College of the Arts, I find broad support for the DDCA framework’s direction among colleagues I work with across the University of Sydney.</w:t>
      </w:r>
    </w:p>
    <w:p w14:paraId="4152372A" w14:textId="77777777" w:rsidR="004A0394" w:rsidRDefault="00000000">
      <w:pPr>
        <w:pStyle w:val="BodyText"/>
      </w:pPr>
      <w:r>
        <w:t xml:space="preserve">The divergence is strategic. Glisovic and Batty argue that the field should articulate its difference more clearly and that distinct evaluation instruments should be developed to honour that difference. I argue that the field should articulate its structural equivalence with other research traditions more clearly and that </w:t>
      </w:r>
      <w:r w:rsidRPr="003E15EC">
        <w:rPr>
          <w:highlight w:val="yellow"/>
        </w:rPr>
        <w:t>translation labour, rather than instrument invention</w:t>
      </w:r>
      <w:r>
        <w:t>, should be the central work. The difference is not about the nature of creative practice research. It is about strategic posture, and about which position the field should adopt at this moment in its institutional history.</w:t>
      </w:r>
    </w:p>
    <w:p w14:paraId="0A1B0A85" w14:textId="092A0539" w:rsidR="004A0394" w:rsidRDefault="00000000">
      <w:pPr>
        <w:pStyle w:val="BodyText"/>
      </w:pPr>
      <w:r>
        <w:t xml:space="preserve">The two positions disagree about strategy, not about the facts of creative practice research: neither side disputes what the work is or how it is made. The clearest evidence for this is the third of Glisovic and Batty’s recommendations, the requirements of the research statement. The recommendation describes the statement’s purpose as guiding an assessor “in their encounter with the creative work so that they can access the knowledge/contribution claim the researcher is making,” and it draws explicitly on the European notion of “exposition” (Borgdorff's term, introduced in Section 2, for the writing or framing that makes an artwork's research claim legible to an assessor), the mechanism that allows an artistic contribution to be read as an epistemic claim. This is the same articulation move on which this paper builds its entire case. The field’s own consensus framework, in other words, already contains the instrument of translation; it has simply pointed that instrument toward </w:t>
      </w:r>
      <w:r w:rsidR="00B92702">
        <w:t>exception</w:t>
      </w:r>
      <w:r>
        <w:t xml:space="preserve"> rather than toward equivalence. The disagreement between the two positions is not about whether creative practice research can be articulated as research: both positions affirm that it can, and both rely on the same articulation mechanism to do it. </w:t>
      </w:r>
      <w:r w:rsidRPr="003E15EC">
        <w:rPr>
          <w:highlight w:val="yellow"/>
        </w:rPr>
        <w:t>The disagreement is only about what the articulated account is then read against: a bespoke, discipline-specific frame, or the scholarly evaluation framework the institution already holds.</w:t>
      </w:r>
    </w:p>
    <w:p w14:paraId="4A6F5600" w14:textId="77777777" w:rsidR="004A0394" w:rsidRDefault="00000000">
      <w:pPr>
        <w:pStyle w:val="BodyText"/>
      </w:pPr>
      <w:r>
        <w:t xml:space="preserve">McKee (2020), which both the DDCA framework and this paper cite, can be read more carefully than either has yet read it. McKee surveyed thirty experienced NTRO assessors on nineteen possible assessment criteria. Only four reached genuine consensus across the cohort. The current literature, including this paper in its earlier versions, has tended to treat that headline number as evidence that the discipline-specific project is </w:t>
      </w:r>
      <w:r>
        <w:lastRenderedPageBreak/>
        <w:t>structurally in trouble: the field cannot agree with itself. The number is correct; the reading is partial. The fuller reading turns on what the four criteria actually are.</w:t>
      </w:r>
    </w:p>
    <w:p w14:paraId="27D78494" w14:textId="77777777" w:rsidR="001F07EC" w:rsidRDefault="00000000">
      <w:pPr>
        <w:pStyle w:val="BodyText"/>
      </w:pPr>
      <w:r>
        <w:t xml:space="preserve">The four criteria on which the thirty experts reached consensus were: </w:t>
      </w:r>
    </w:p>
    <w:p w14:paraId="473818BC" w14:textId="77777777" w:rsidR="001F07EC" w:rsidRDefault="00000000" w:rsidP="001F07EC">
      <w:pPr>
        <w:pStyle w:val="BodyText"/>
        <w:numPr>
          <w:ilvl w:val="0"/>
          <w:numId w:val="30"/>
        </w:numPr>
      </w:pPr>
      <w:r>
        <w:t xml:space="preserve">demonstrated familiarity in the research statement with the current state of knowledge in the relevant academic disciplines (rated very important); </w:t>
      </w:r>
    </w:p>
    <w:p w14:paraId="4F9CB3FC" w14:textId="77777777" w:rsidR="001F07EC" w:rsidRDefault="00000000" w:rsidP="001F07EC">
      <w:pPr>
        <w:pStyle w:val="BodyText"/>
        <w:numPr>
          <w:ilvl w:val="0"/>
          <w:numId w:val="30"/>
        </w:numPr>
      </w:pPr>
      <w:r>
        <w:t xml:space="preserve">demonstrated familiarity with the current state of knowledge in the relevant industry (important); </w:t>
      </w:r>
    </w:p>
    <w:p w14:paraId="415DA038" w14:textId="77777777" w:rsidR="001F07EC" w:rsidRDefault="00000000" w:rsidP="001F07EC">
      <w:pPr>
        <w:pStyle w:val="BodyText"/>
        <w:numPr>
          <w:ilvl w:val="0"/>
          <w:numId w:val="30"/>
        </w:numPr>
      </w:pPr>
      <w:r>
        <w:t xml:space="preserve">evidence that the work has been engaged with by other academic researchers (relevant); </w:t>
      </w:r>
    </w:p>
    <w:p w14:paraId="6BDE3485" w14:textId="77777777" w:rsidR="001F07EC" w:rsidRDefault="00000000" w:rsidP="001F07EC">
      <w:pPr>
        <w:pStyle w:val="BodyText"/>
        <w:numPr>
          <w:ilvl w:val="0"/>
          <w:numId w:val="30"/>
        </w:numPr>
      </w:pPr>
      <w:r>
        <w:t xml:space="preserve">and whether the NTRO creator is a substantive university staff member or an adjunct/honorary (unimportant). </w:t>
      </w:r>
    </w:p>
    <w:p w14:paraId="2C4314FE" w14:textId="3FD8666D" w:rsidR="004A0394" w:rsidRDefault="00000000" w:rsidP="001F07EC">
      <w:pPr>
        <w:pStyle w:val="BodyText"/>
      </w:pPr>
      <w:r>
        <w:t xml:space="preserve">Set those four against the fifteen on which the experts could not agree: scale, uniqueness, peer review, success in the practice community, the standing of co-exhibitors, the work’s representing an advance on the state of practice, the rigour of the program of research, whether the work is practice-based or practice-led, and so on. A pattern is visible. </w:t>
      </w:r>
      <w:r w:rsidRPr="001F07EC">
        <w:rPr>
          <w:highlight w:val="yellow"/>
        </w:rPr>
        <w:t xml:space="preserve">The four agreed criteria are </w:t>
      </w:r>
      <w:r w:rsidRPr="001F07EC">
        <w:rPr>
          <w:i/>
          <w:iCs/>
          <w:highlight w:val="yellow"/>
        </w:rPr>
        <w:t>translation</w:t>
      </w:r>
      <w:r w:rsidRPr="001F07EC">
        <w:rPr>
          <w:highlight w:val="yellow"/>
        </w:rPr>
        <w:t xml:space="preserve"> criteria. They </w:t>
      </w:r>
      <w:proofErr w:type="gramStart"/>
      <w:r w:rsidRPr="001F07EC">
        <w:rPr>
          <w:highlight w:val="yellow"/>
        </w:rPr>
        <w:t>ask:</w:t>
      </w:r>
      <w:proofErr w:type="gramEnd"/>
      <w:r w:rsidRPr="001F07EC">
        <w:rPr>
          <w:highlight w:val="yellow"/>
        </w:rPr>
        <w:t xml:space="preserve"> have you situated the work in the academic discipline; have you situated the work in the field; has the work been taken up by other scholars; is the work being done by someone with the standing to do it. These are the questions any scholarly contribution is asked.</w:t>
      </w:r>
      <w:r>
        <w:t xml:space="preserve"> The fifteen contested criteria are, almost without exception, the discipline-specific ones: the criteria that try to capture what is particular to creative practice research, on its own bespoke terms. Where the field of expert assessors finds consensus is on the criteria that read creative practice research the way other research is read. Where it fails to find consensus is on the criteria that try to read creative practice research as a thing apart.</w:t>
      </w:r>
    </w:p>
    <w:p w14:paraId="248929B2" w14:textId="77777777" w:rsidR="004A0394" w:rsidRDefault="00000000">
      <w:pPr>
        <w:pStyle w:val="BodyText"/>
      </w:pPr>
      <w:r>
        <w:t xml:space="preserve">This is the strongest evidence I know of for the translation argument, and it sits inside the data the DDCA framework itself relies on. The discipline-specific project is not in trouble because the field is too fractious to agree. It is in trouble because the criteria that the project generates are not the criteria the field’s own expert assessors can use. When those assessors agree, they agree on </w:t>
      </w:r>
      <w:r>
        <w:rPr>
          <w:i/>
          <w:iCs/>
        </w:rPr>
        <w:t>translation</w:t>
      </w:r>
      <w:r>
        <w:t xml:space="preserve"> criteria: the criteria this paper argues should be the basis for assessment. Put plainly: when a panel of experts is asked to agree on rules that treat creative practice research as a separate category, they cannot agree; when they are asked to agree on rules that read it the same way as any other research, they can. Glisovic and Batty’s framework reads McKee’s headline finding as a call for clearer discipline-specific instruments. The fuller reading suggests the opposite: that the field’s expert community is already, when it agrees, agreeing on the translation position, and that the discipline-specific instruments it has tried to develop have not commanded the same agreement. The strategic implication is that translation is not a departure from sector consensus but a reading of where the sector’s real consensus already lies. The full McKee results are set out, with commentary, in Appendix B.</w:t>
      </w:r>
    </w:p>
    <w:p w14:paraId="3D1147D6" w14:textId="77777777" w:rsidR="004A0394" w:rsidRDefault="00000000">
      <w:pPr>
        <w:pStyle w:val="BodyText"/>
      </w:pPr>
      <w:r>
        <w:t xml:space="preserve">There is a deeper structural point in the McKee data that the translation argument should make explicit, because it explains not only where consensus sits but why consensus fractures elsewhere. The discipline-specific criteria the field has tried to develop have a structural problem: each of them does two jobs at once. Take scale. </w:t>
      </w:r>
      <w:r>
        <w:lastRenderedPageBreak/>
        <w:t>Sometimes scale functions as a register question (how large or extensive was the work, how broad was its reach). Sometimes it functions as a quality question (does scale indicate significance). The criterion fuses the two operations into a single fused criterion that asks the assessor both questions simultaneously without separating them. Uniqueness does the same thing: partly a register question (is the work novel in form or content), partly a quality question (does novelty indicate research contribution), fused. Success in the practice community fuses the register question (was the work taken up) with the quality question (was the uptake a marker of significance). McKee’s thirty experts split on these criteria not because they disagree about what creative practice research is, but because different assessors pick up different sides of the fused criterion. One reads scale as register; another reads scale as quality. The criterion was never going to command consensus because it is doing two operations at once. The translation criteria, by contrast, are clean. “Demonstrated familiarity with the current state of knowledge” is one operation: a quality question (familiarity is present, at what level) applied to evidence in the research statement (the demonstration is in the statement itself). It does not also try to name a register. The clean separation of the three layers (registers, evidence, quality questions) is what allows assessors to agree on it. This is the structural advantage of translation. It is not that the translation criteria happen to be the ones the field agrees on; it is that they are the criteria whose underlying operation is cleanly specified. The discipline-specific instruments the DDCA framework proposes will face the same structural problem if they are built the same way, because the problem is not in the criteria’s content but in their architecture. The translation approach is the architecturally cleaner one, and McKee’s data is evidence that the cleaner architecture is the one that produces working expert consensus.</w:t>
      </w:r>
    </w:p>
    <w:p w14:paraId="5AFDC318" w14:textId="77777777" w:rsidR="004A0394" w:rsidRDefault="00000000">
      <w:pPr>
        <w:pStyle w:val="BodyText"/>
      </w:pPr>
      <w:r>
        <w:t>Sullivan (2009) belongs in this discussion as its longest-standing predecessor. Writing before the strategic debate now joined by Glisovic and Batty had taken its current shape, he diagnosed why equivalence pursued as resemblance fails: it cedes the terms of recognition to those already inside the institution, and it draws the field’s methods toward the conventions of other disciplines. That diagnosis has not been answered in the intervening years so much as set aside. The translation argument is built to answer it. Where Sullivan called for the similarities and differences between practice-led research and traditional inquiry to be “cogently argued” rather than assumed, this paper treats that call as unfinished business and takes it up.</w:t>
      </w:r>
    </w:p>
    <w:p w14:paraId="54324E34" w14:textId="77777777" w:rsidR="004A0394" w:rsidRDefault="00000000">
      <w:pPr>
        <w:pStyle w:val="BodyText"/>
      </w:pPr>
      <w:r>
        <w:t>Knowles (2020) has questioned the strategic usefulness of the NTRO label itself, asking whether the designation has served the disciplines it was intended to protect. My own reading aligns with this scepticism. The NTRO label is a primary site of the deficit framing this paper has described. Replacing “non-traditional research output” with “creative practice research” preserves the substance while abandoning the deficit grammar. The further move proposed here is to abandon not only the deficit grammar but the categorical distinction that underwrites it.</w:t>
      </w:r>
    </w:p>
    <w:p w14:paraId="28EEFC9B" w14:textId="77777777" w:rsidR="004A0394" w:rsidRDefault="00000000">
      <w:pPr>
        <w:pStyle w:val="BodyText"/>
      </w:pPr>
      <w:r>
        <w:t xml:space="preserve">A final point of engagement concerns scope, and it is a strategic point as much as a conceptual one. As Section 4 argued, the disciplines poorly served by the humanities/STEM binary are not a loose family resemblance but an identifiable class: those organised around a practicum, where </w:t>
      </w:r>
      <w:r>
        <w:rPr>
          <w:i/>
          <w:iCs/>
        </w:rPr>
        <w:t>making or doing</w:t>
      </w:r>
      <w:r>
        <w:t xml:space="preserve"> is the generative engine of inquiry. Architecture, design, computing’s research-through-design, the practitioner-research traditions in education and the health professions: these are not disciplines that happen to resemble creative practice research, they share its </w:t>
      </w:r>
      <w:r>
        <w:rPr>
          <w:i/>
          <w:iCs/>
        </w:rPr>
        <w:t>structural position</w:t>
      </w:r>
      <w:r>
        <w:t xml:space="preserve">. </w:t>
      </w:r>
      <w:r>
        <w:lastRenderedPageBreak/>
        <w:t>This is what makes translation a coalition strategy rather than a special pleading. A field that argues for exception argues alone, and each practicum-based discipline that argues for exception argues alone alongside it. A field that argues for translation is making an argument every one of those disciplines can join, because it is an argument about the inadequacy of the binary itself rather than about the peculiarity of any one discipline. Creative practice research is well placed to lead that argument (it has been forced to articulate its methodological self-understanding earliest and most explicitly) but the argument’s reach, and its political value, is that it was never only about creative practice research.</w:t>
      </w:r>
    </w:p>
    <w:p w14:paraId="735D865F" w14:textId="0093134F" w:rsidR="004A0394" w:rsidRDefault="00000000">
      <w:pPr>
        <w:pStyle w:val="BodyText"/>
      </w:pPr>
      <w:r>
        <w:t xml:space="preserve">One further point bears on what kind of choice this is. </w:t>
      </w:r>
      <w:r w:rsidRPr="00594376">
        <w:rPr>
          <w:highlight w:val="yellow"/>
        </w:rPr>
        <w:t>The Australian sector distinguishes institutions by research mission: a research-intensive university makes a particular set of commitments (to competitive research income, to higher degree research training, to the Research Block Grant system) and academics appointed within it hold research obligations as a condition of the post. Creative practice research is, in significant measure, conducted inside such institutions. The deficit position has allowed it to occupy research-intensive appointments while being treated, in everyday practice, as an exception to the research framework rather than a full participant in it, and that exception, as Section 3 argued, is not a protection but the very mechanism of under-resourcing.</w:t>
      </w:r>
      <w:r>
        <w:t xml:space="preserve"> </w:t>
      </w:r>
      <w:r w:rsidRPr="00594376">
        <w:rPr>
          <w:highlight w:val="yellow"/>
        </w:rPr>
        <w:t>It would be a misreading of this argument to conclude that the alternative is for creative practice researchers who resist current frameworks to remove themselves to teaching-focused institutions.</w:t>
      </w:r>
      <w:r>
        <w:t xml:space="preserve"> That conclusion concedes precisely what this paper contests: it treats wanting to resist a misdescription as the same as not doing research. </w:t>
      </w:r>
      <w:r w:rsidRPr="00594376">
        <w:rPr>
          <w:highlight w:val="yellow"/>
        </w:rPr>
        <w:t>The researcher who resists the metrics is not declining to do research; on the argument made here, they are doing research the metrics have failed to read. The position is not “accept the framework as it stands or leave.” It is that creative practice research conducted within a research-intensive university should be recognised, resourced and assessed as research, which is what translation provides, rather than carried indefinitely as a tolerated exception within an institution that has already committed to the framework.</w:t>
      </w:r>
    </w:p>
    <w:p w14:paraId="65F8CFF6" w14:textId="77777777" w:rsidR="004A0394" w:rsidRDefault="00000000">
      <w:pPr>
        <w:pStyle w:val="Heading1"/>
      </w:pPr>
      <w:bookmarkStart w:id="7" w:name="conclusion-an-invitation"/>
      <w:bookmarkEnd w:id="6"/>
      <w:r>
        <w:t>7. Conclusion: an invitation</w:t>
      </w:r>
    </w:p>
    <w:p w14:paraId="154F0E53" w14:textId="77777777" w:rsidR="004A0394" w:rsidRDefault="00000000">
      <w:pPr>
        <w:pStyle w:val="FirstParagraph"/>
      </w:pPr>
      <w:r>
        <w:t>This paper is offered as an invitation to sector discussion rather than as a finished position. The strategic claim, that the thirty-year “difference” position has exhausted its usefulness and that translation should now be the productive frame, is significant enough that it warrants substantial sector engagement before any settled view is reached.</w:t>
      </w:r>
    </w:p>
    <w:p w14:paraId="14E54698" w14:textId="77777777" w:rsidR="004A0394" w:rsidRDefault="00000000">
      <w:pPr>
        <w:pStyle w:val="BodyText"/>
      </w:pPr>
      <w:r>
        <w:t>My own work as Research Director at Sydney College of the Arts and Faculty Research Advisor, alongside the FASS NTRO Working Group's broader efforts, is one site of this engagement. The NTRO Evidence Template is one working example of translation in operation. The Faculty Academic Excellence Framework at the University of Sydney already provides the institutional scaffolding for translation to be applied. I anticipate that other institutions have parallel infrastructure in place, and that comparison across institutions will be productive in determining how widely the translation frame can be applied.</w:t>
      </w:r>
    </w:p>
    <w:p w14:paraId="3AD1F0CA" w14:textId="77777777" w:rsidR="004A0394" w:rsidRDefault="00000000">
      <w:pPr>
        <w:pStyle w:val="BodyText"/>
      </w:pPr>
      <w:r>
        <w:lastRenderedPageBreak/>
        <w:t xml:space="preserve">The invitation is to </w:t>
      </w:r>
      <w:r>
        <w:rPr>
          <w:i/>
          <w:iCs/>
        </w:rPr>
        <w:t>consider whether the strategic moment has changed</w:t>
      </w:r>
      <w:r>
        <w:t xml:space="preserve">. The field is no longer fighting for inclusion in the university; that fight was won, and the instruments that won it were built for their moment. </w:t>
      </w:r>
      <w:r>
        <w:rPr>
          <w:i/>
          <w:iCs/>
        </w:rPr>
        <w:t>The field is now fighting for parity within the university</w:t>
      </w:r>
      <w:r>
        <w:t>, and the rhetorical instruments that secured inclusion may not be the same instruments that will secure parity. The “different” position served the field’s inclusion. The “translation” position may be what secures the field’s parity.</w:t>
      </w:r>
    </w:p>
    <w:p w14:paraId="230F385F" w14:textId="77777777" w:rsidR="004A0394" w:rsidRDefault="00000000">
      <w:pPr>
        <w:pStyle w:val="BodyText"/>
      </w:pPr>
      <w:r>
        <w:t>If the strategic claim of this paper is wrong, the empirical work of the next decade will reveal that. If it is right, the empirical work of the next decade will give the field a sharper instrument than three decades of discipline-specific advocacy have managed to produce. The DDCA framework deserves serious engagement. So does the strategic alternative this paper proposes. I offer this paper as a contribution to that engagement.</w:t>
      </w:r>
    </w:p>
    <w:p w14:paraId="19F256D3" w14:textId="77777777" w:rsidR="004A0394" w:rsidRDefault="00000000">
      <w:pPr>
        <w:pStyle w:val="Heading1"/>
      </w:pPr>
      <w:bookmarkStart w:id="8" w:name="appendix-a-the-sceptics-ledger"/>
      <w:bookmarkEnd w:id="7"/>
      <w:r>
        <w:t>Appendix A: The sceptic’s ledger</w:t>
      </w:r>
    </w:p>
    <w:p w14:paraId="00F9ACFB" w14:textId="77777777" w:rsidR="004A0394" w:rsidRDefault="00000000">
      <w:pPr>
        <w:pStyle w:val="FirstParagraph"/>
      </w:pPr>
      <w:r>
        <w:t>The argument of this paper invites a specific family of objections. Rather than dispersing the responses through the text, they are gathered here so a reader can test the argument against its strongest counter-positions directly. Each objection is stated in the form a serious sceptic would use, not a weakened form.</w:t>
      </w:r>
    </w:p>
    <w:p w14:paraId="056DC1E0" w14:textId="77777777" w:rsidR="004A0394" w:rsidRDefault="00000000">
      <w:pPr>
        <w:pStyle w:val="BodyText"/>
      </w:pPr>
      <w:r>
        <w:rPr>
          <w:b/>
          <w:bCs/>
        </w:rPr>
        <w:t>Objection 1: The knowledge is tacit, therefore it cannot be assessed as research.</w:t>
      </w:r>
    </w:p>
    <w:p w14:paraId="5EB353B0" w14:textId="77777777" w:rsidR="004A0394" w:rsidRDefault="00000000">
      <w:pPr>
        <w:pStyle w:val="BodyText"/>
      </w:pPr>
      <w:r>
        <w:rPr>
          <w:i/>
          <w:iCs/>
        </w:rPr>
        <w:t xml:space="preserve">The sceptic: </w:t>
      </w:r>
      <w:r>
        <w:t>Creative practice research locates its knowledge in embodied, material, hand-held form. Research, in the sense the university funds, must be specifiable: a reader who was not present must be able to see what the contribution is and judge whether it succeeded. Knowledge that lives in the maker’s hands fails that test.</w:t>
      </w:r>
    </w:p>
    <w:p w14:paraId="209E7DD0" w14:textId="77777777" w:rsidR="004A0394" w:rsidRDefault="00000000">
      <w:pPr>
        <w:pStyle w:val="BodyText"/>
      </w:pPr>
      <w:r>
        <w:rPr>
          <w:i/>
          <w:iCs/>
        </w:rPr>
        <w:t xml:space="preserve">The response: </w:t>
      </w:r>
      <w:r>
        <w:t>The distinction is between where knowledge is generated and where it is articulated. Creative practice research generates knowledge through embodied making and then articulates it into specifiable, transferable form, and the articulation step is real, not promissory. The NTRO Evidence Template is the instrument of that articulation at the assessment layer (where the institution decides whether something is research); the catalogue, the stated research question and the explicit genealogy are its instruments at the level of the individual project (where the researcher articulates the contribution of a specific work). The paper concedes openly that not all studio activity is research (competent craft is skill, not a research contribution) and treats the capacity to draw that line as a strength of the position rather than a concession against it.</w:t>
      </w:r>
    </w:p>
    <w:p w14:paraId="7B4D61E3" w14:textId="77777777" w:rsidR="004A0394" w:rsidRDefault="00000000">
      <w:pPr>
        <w:pStyle w:val="BodyText"/>
      </w:pPr>
      <w:r>
        <w:rPr>
          <w:b/>
          <w:bCs/>
        </w:rPr>
        <w:t>Objection 2: Equivalence is assimilation by another name; it will colonise the practice.</w:t>
      </w:r>
    </w:p>
    <w:p w14:paraId="62B12CAF" w14:textId="77777777" w:rsidR="004A0394" w:rsidRDefault="00000000">
      <w:pPr>
        <w:pStyle w:val="BodyText"/>
      </w:pPr>
      <w:r>
        <w:rPr>
          <w:i/>
          <w:iCs/>
        </w:rPr>
        <w:t xml:space="preserve">The sceptic: </w:t>
      </w:r>
      <w:r>
        <w:t>This is the argument Sullivan (2009) made against the equivalence strategy of the 1990s. To make outputs legible as equivalent, the field imported the conventions of other disciplines, and the borrowed conventions displaced inquiry grounded in practice. An equivalence argument cannot avoid this.</w:t>
      </w:r>
    </w:p>
    <w:p w14:paraId="420C3314" w14:textId="77777777" w:rsidR="004A0394" w:rsidRDefault="00000000">
      <w:pPr>
        <w:pStyle w:val="BodyText"/>
      </w:pPr>
      <w:r>
        <w:rPr>
          <w:i/>
          <w:iCs/>
        </w:rPr>
        <w:t xml:space="preserve">The response: </w:t>
      </w:r>
      <w:r>
        <w:t xml:space="preserve">The objection identifies a real pathway, but the direction of this paper’s argument is the reverse of the one Sullivan attacked. His target was importation: the studio reshaped to another field’s conventions. The claim here is recognition: the studio described as already conducting a systematic, materially grounded mode of inquiry, redescribed in terms the institution can read. Translation describes the native process; </w:t>
      </w:r>
      <w:r>
        <w:lastRenderedPageBreak/>
        <w:t>it does not substitute an alien one. The exhibition stays an exhibition; the method is not retooled.</w:t>
      </w:r>
    </w:p>
    <w:p w14:paraId="6910699E" w14:textId="77777777" w:rsidR="004A0394" w:rsidRDefault="00000000">
      <w:pPr>
        <w:pStyle w:val="BodyText"/>
      </w:pPr>
      <w:r>
        <w:rPr>
          <w:b/>
          <w:bCs/>
        </w:rPr>
        <w:t>Objection 3: “It is all research” is a claim that specifies nothing.</w:t>
      </w:r>
    </w:p>
    <w:p w14:paraId="35B0CD0F" w14:textId="77777777" w:rsidR="004A0394" w:rsidRDefault="00000000">
      <w:pPr>
        <w:pStyle w:val="BodyText"/>
      </w:pPr>
      <w:r>
        <w:rPr>
          <w:i/>
          <w:iCs/>
        </w:rPr>
        <w:t xml:space="preserve">The sceptic: </w:t>
      </w:r>
      <w:r>
        <w:t>If every exhibition, every studio process, every act of making counts as research, the category has no edges and therefore no assessable content.</w:t>
      </w:r>
    </w:p>
    <w:p w14:paraId="5AB77930" w14:textId="77777777" w:rsidR="004A0394" w:rsidRDefault="00000000">
      <w:pPr>
        <w:pStyle w:val="BodyText"/>
      </w:pPr>
      <w:r>
        <w:rPr>
          <w:i/>
          <w:iCs/>
        </w:rPr>
        <w:t xml:space="preserve">The response: </w:t>
      </w:r>
      <w:r>
        <w:t>The paper does not claim that all creative practice is research. It claims that the research is the part that generates specifiable, transferable, field-advancing knowledge, and that an instrument, the NTRO Evidence Template, helps the assessor pick that part out by telling them what evidence to look for, what scholarly function each piece of evidence performs, and which clauses of the institution’s existing evaluation framework are activated by each piece. The line between research and skilled professional practice is drawn by the assessor at the point of judgement, on the field’s terms, with the template as scaffolding. The category has edges, drawn by experts using an existing framework. It is not refused; it is also not pre-judged by the template itself.</w:t>
      </w:r>
    </w:p>
    <w:p w14:paraId="4BB0FDE1" w14:textId="77777777" w:rsidR="004A0394" w:rsidRDefault="00000000">
      <w:pPr>
        <w:pStyle w:val="BodyText"/>
      </w:pPr>
      <w:r>
        <w:rPr>
          <w:b/>
          <w:bCs/>
        </w:rPr>
        <w:t>Objection 4: The studio is not a laboratory; the “like STEM” claim overreaches.</w:t>
      </w:r>
    </w:p>
    <w:p w14:paraId="6008799A" w14:textId="77777777" w:rsidR="004A0394" w:rsidRDefault="00000000">
      <w:pPr>
        <w:pStyle w:val="BodyText"/>
      </w:pPr>
      <w:r>
        <w:rPr>
          <w:i/>
          <w:iCs/>
        </w:rPr>
        <w:t xml:space="preserve">The sceptic: </w:t>
      </w:r>
      <w:r>
        <w:t>Experimental science tests pre-formed hypotheses under controlled conditions. Studio practice does not. Claiming the studio is a laboratory claims a procedural identity that does not exist.</w:t>
      </w:r>
    </w:p>
    <w:p w14:paraId="402DF31E" w14:textId="77777777" w:rsidR="004A0394" w:rsidRDefault="00000000">
      <w:pPr>
        <w:pStyle w:val="BodyText"/>
      </w:pPr>
      <w:r>
        <w:rPr>
          <w:i/>
          <w:iCs/>
        </w:rPr>
        <w:t xml:space="preserve">The response: </w:t>
      </w:r>
      <w:r>
        <w:t>The claim is structural kinship, not procedural identity. The studio is cognate with the laboratory in being systematic, iterative, propositional and material, but the proposition is often generated through the making rather than brought to it. This is a refinement of Sullivan rather than a contradiction of him: practice-led inquiry runs in both directions, and that two-directionality is part of what makes it cognate with the full range of empirical research, which is likewise not monolithically one or the other.</w:t>
      </w:r>
    </w:p>
    <w:p w14:paraId="3DD4AE80" w14:textId="77777777" w:rsidR="004A0394" w:rsidRDefault="00000000">
      <w:pPr>
        <w:pStyle w:val="BodyText"/>
      </w:pPr>
      <w:r>
        <w:rPr>
          <w:b/>
          <w:bCs/>
        </w:rPr>
        <w:t>Objection 5: Discipline-specific instruments honour the field; translation surrenders it.</w:t>
      </w:r>
    </w:p>
    <w:p w14:paraId="23372DDB" w14:textId="77777777" w:rsidR="004A0394" w:rsidRDefault="00000000">
      <w:pPr>
        <w:pStyle w:val="BodyText"/>
      </w:pPr>
      <w:r>
        <w:rPr>
          <w:i/>
          <w:iCs/>
        </w:rPr>
        <w:t xml:space="preserve">The sceptic: </w:t>
      </w:r>
      <w:r>
        <w:t>The DDCA framework and the broader practice-as-research literature have worked to build evaluation instruments that respect creative practice’s difference. Translation into the institution’s existing framework abandons that hard-won ground.</w:t>
      </w:r>
    </w:p>
    <w:p w14:paraId="16E6FDBB" w14:textId="77777777" w:rsidR="004A0394" w:rsidRDefault="00000000">
      <w:pPr>
        <w:pStyle w:val="BodyText"/>
      </w:pPr>
      <w:r>
        <w:rPr>
          <w:i/>
          <w:iCs/>
        </w:rPr>
        <w:t xml:space="preserve">The response: </w:t>
      </w:r>
      <w:r>
        <w:t>Section 6 reads McKee’s (2020) data closely. The four criteria on which expert assessors agree are translation criteria: situate the work in the academic discipline, situate it in the field, show uptake, and treat appointment status as not the issue. The fifteen criteria on which they fail to agree are the discipline-specific ones. Where the field’s expert community finds genuine consensus, it finds it on the translation position. Translation is not a surrender of ground; it is an articulation of where the sector’s real consensus already sits, and one that gains the field coalition partners across every practicum-based discipline, rather than leaving it to argue its exception alone.</w:t>
      </w:r>
    </w:p>
    <w:p w14:paraId="36A0BA3D" w14:textId="77777777" w:rsidR="004A0394" w:rsidRDefault="00000000">
      <w:pPr>
        <w:pStyle w:val="Heading1"/>
      </w:pPr>
      <w:bookmarkStart w:id="9" w:name="X3b86ef1078ec1150ffb5967d8f66e7cda291fdc"/>
      <w:bookmarkEnd w:id="8"/>
      <w:r>
        <w:lastRenderedPageBreak/>
        <w:t>Appendix B: McKee’s nineteen criteria and the four points of consensus</w:t>
      </w:r>
    </w:p>
    <w:p w14:paraId="4F157EB1" w14:textId="77777777" w:rsidR="004A0394" w:rsidRDefault="00000000">
      <w:pPr>
        <w:pStyle w:val="FirstParagraph"/>
      </w:pPr>
      <w:r>
        <w:t>This appendix sets out the full results of McKee (2020) in support of the discussion in Section 6. McKee surveyed thirty key NTRO decision-makers in Australia, asking each to rate the importance of nineteen possible criteria for assessing the quality of NTROs as academic research. The analysis identified four criteria on which there was substantial agreement across the cohort. The remaining fifteen criteria either failed to reach a “fair” level of agreement or attracted large numbers of “it depends” responses with qualitative analysis revealing genuine division among assessors.</w:t>
      </w:r>
    </w:p>
    <w:p w14:paraId="06AA1F8D" w14:textId="77777777" w:rsidR="004A0394" w:rsidRDefault="00000000">
      <w:pPr>
        <w:pStyle w:val="BodyText"/>
      </w:pPr>
      <w:r>
        <w:t>The criteria are listed below in descending order of agreement (lower Adjusted Standard Deviation indicates stronger agreement). The four consensus criteria are bolded.</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5088"/>
        <w:gridCol w:w="699"/>
        <w:gridCol w:w="1437"/>
        <w:gridCol w:w="1786"/>
      </w:tblGrid>
      <w:tr w:rsidR="004A0394" w14:paraId="2A34B491" w14:textId="77777777" w:rsidTr="00CE5D3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47891021" w14:textId="77777777" w:rsidR="004A0394" w:rsidRDefault="00000000">
            <w:pPr>
              <w:pStyle w:val="Compact"/>
            </w:pPr>
            <w:r>
              <w:rPr>
                <w:b/>
                <w:bCs/>
              </w:rPr>
              <w:t>Criterion</w:t>
            </w:r>
          </w:p>
        </w:tc>
        <w:tc>
          <w:tcPr>
            <w:tcW w:w="0" w:type="auto"/>
            <w:tcBorders>
              <w:bottom w:val="none" w:sz="0" w:space="0" w:color="auto"/>
            </w:tcBorders>
          </w:tcPr>
          <w:p w14:paraId="703CACC2" w14:textId="77777777" w:rsidR="004A0394" w:rsidRDefault="00000000">
            <w:pPr>
              <w:pStyle w:val="Compact"/>
            </w:pPr>
            <w:r>
              <w:rPr>
                <w:b/>
                <w:bCs/>
              </w:rPr>
              <w:t>SD</w:t>
            </w:r>
          </w:p>
        </w:tc>
        <w:tc>
          <w:tcPr>
            <w:tcW w:w="0" w:type="auto"/>
            <w:tcBorders>
              <w:bottom w:val="none" w:sz="0" w:space="0" w:color="auto"/>
            </w:tcBorders>
          </w:tcPr>
          <w:p w14:paraId="62BC8875" w14:textId="77777777" w:rsidR="004A0394" w:rsidRDefault="00000000">
            <w:pPr>
              <w:pStyle w:val="Compact"/>
            </w:pPr>
            <w:r>
              <w:rPr>
                <w:b/>
                <w:bCs/>
              </w:rPr>
              <w:t>Agreement</w:t>
            </w:r>
          </w:p>
        </w:tc>
        <w:tc>
          <w:tcPr>
            <w:tcW w:w="0" w:type="auto"/>
            <w:tcBorders>
              <w:bottom w:val="none" w:sz="0" w:space="0" w:color="auto"/>
            </w:tcBorders>
          </w:tcPr>
          <w:p w14:paraId="75CBE59D" w14:textId="77777777" w:rsidR="004A0394" w:rsidRDefault="00000000">
            <w:pPr>
              <w:pStyle w:val="Compact"/>
            </w:pPr>
            <w:r>
              <w:rPr>
                <w:b/>
                <w:bCs/>
              </w:rPr>
              <w:t>Importance rating</w:t>
            </w:r>
          </w:p>
        </w:tc>
      </w:tr>
      <w:tr w:rsidR="004A0394" w14:paraId="025D6303" w14:textId="77777777" w:rsidTr="00CE5D31">
        <w:tc>
          <w:tcPr>
            <w:tcW w:w="0" w:type="auto"/>
          </w:tcPr>
          <w:p w14:paraId="42FFF42B" w14:textId="77777777" w:rsidR="004A0394" w:rsidRDefault="00000000">
            <w:pPr>
              <w:pStyle w:val="Compact"/>
            </w:pPr>
            <w:r>
              <w:rPr>
                <w:b/>
                <w:bCs/>
              </w:rPr>
              <w:t>Evidence that the work has been engaged with by other academic researchers</w:t>
            </w:r>
          </w:p>
        </w:tc>
        <w:tc>
          <w:tcPr>
            <w:tcW w:w="0" w:type="auto"/>
          </w:tcPr>
          <w:p w14:paraId="7046F920" w14:textId="77777777" w:rsidR="004A0394" w:rsidRDefault="00000000">
            <w:pPr>
              <w:pStyle w:val="Compact"/>
            </w:pPr>
            <w:r>
              <w:rPr>
                <w:b/>
                <w:bCs/>
              </w:rPr>
              <w:t>0.88</w:t>
            </w:r>
          </w:p>
        </w:tc>
        <w:tc>
          <w:tcPr>
            <w:tcW w:w="0" w:type="auto"/>
          </w:tcPr>
          <w:p w14:paraId="6DD022DB" w14:textId="77777777" w:rsidR="004A0394" w:rsidRDefault="00000000">
            <w:pPr>
              <w:pStyle w:val="Compact"/>
            </w:pPr>
            <w:r>
              <w:rPr>
                <w:b/>
                <w:bCs/>
              </w:rPr>
              <w:t>Strong</w:t>
            </w:r>
          </w:p>
        </w:tc>
        <w:tc>
          <w:tcPr>
            <w:tcW w:w="0" w:type="auto"/>
          </w:tcPr>
          <w:p w14:paraId="64D60A7E" w14:textId="77777777" w:rsidR="004A0394" w:rsidRDefault="00000000">
            <w:pPr>
              <w:pStyle w:val="Compact"/>
            </w:pPr>
            <w:r>
              <w:rPr>
                <w:b/>
                <w:bCs/>
              </w:rPr>
              <w:t>Relevant</w:t>
            </w:r>
          </w:p>
        </w:tc>
      </w:tr>
      <w:tr w:rsidR="004A0394" w14:paraId="3774B90D" w14:textId="77777777" w:rsidTr="00CE5D31">
        <w:tc>
          <w:tcPr>
            <w:tcW w:w="0" w:type="auto"/>
          </w:tcPr>
          <w:p w14:paraId="53AC1865" w14:textId="77777777" w:rsidR="004A0394" w:rsidRDefault="00000000">
            <w:pPr>
              <w:pStyle w:val="Compact"/>
            </w:pPr>
            <w:r>
              <w:rPr>
                <w:b/>
                <w:bCs/>
              </w:rPr>
              <w:t>Demonstrated familiarity in the research statement with the current state of knowledge in the relevant academic discipline(s)</w:t>
            </w:r>
          </w:p>
        </w:tc>
        <w:tc>
          <w:tcPr>
            <w:tcW w:w="0" w:type="auto"/>
          </w:tcPr>
          <w:p w14:paraId="0C30BE47" w14:textId="77777777" w:rsidR="004A0394" w:rsidRDefault="00000000">
            <w:pPr>
              <w:pStyle w:val="Compact"/>
            </w:pPr>
            <w:r>
              <w:rPr>
                <w:b/>
                <w:bCs/>
              </w:rPr>
              <w:t>0.91</w:t>
            </w:r>
          </w:p>
        </w:tc>
        <w:tc>
          <w:tcPr>
            <w:tcW w:w="0" w:type="auto"/>
          </w:tcPr>
          <w:p w14:paraId="45005D45" w14:textId="77777777" w:rsidR="004A0394" w:rsidRDefault="00000000">
            <w:pPr>
              <w:pStyle w:val="Compact"/>
            </w:pPr>
            <w:r>
              <w:rPr>
                <w:b/>
                <w:bCs/>
              </w:rPr>
              <w:t>Strong</w:t>
            </w:r>
          </w:p>
        </w:tc>
        <w:tc>
          <w:tcPr>
            <w:tcW w:w="0" w:type="auto"/>
          </w:tcPr>
          <w:p w14:paraId="3A06F1BD" w14:textId="77777777" w:rsidR="004A0394" w:rsidRDefault="00000000">
            <w:pPr>
              <w:pStyle w:val="Compact"/>
            </w:pPr>
            <w:r>
              <w:rPr>
                <w:b/>
                <w:bCs/>
              </w:rPr>
              <w:t>Very important</w:t>
            </w:r>
          </w:p>
        </w:tc>
      </w:tr>
      <w:tr w:rsidR="004A0394" w14:paraId="4F401F24" w14:textId="77777777" w:rsidTr="00CE5D31">
        <w:tc>
          <w:tcPr>
            <w:tcW w:w="0" w:type="auto"/>
          </w:tcPr>
          <w:p w14:paraId="13EBF5F3" w14:textId="77777777" w:rsidR="004A0394" w:rsidRDefault="00000000">
            <w:pPr>
              <w:pStyle w:val="Compact"/>
            </w:pPr>
            <w:r>
              <w:t>The success of the work according to the criteria of the practice community</w:t>
            </w:r>
          </w:p>
        </w:tc>
        <w:tc>
          <w:tcPr>
            <w:tcW w:w="0" w:type="auto"/>
          </w:tcPr>
          <w:p w14:paraId="5E473707" w14:textId="77777777" w:rsidR="004A0394" w:rsidRDefault="00000000">
            <w:pPr>
              <w:pStyle w:val="Compact"/>
            </w:pPr>
            <w:r>
              <w:t>0.98</w:t>
            </w:r>
          </w:p>
        </w:tc>
        <w:tc>
          <w:tcPr>
            <w:tcW w:w="0" w:type="auto"/>
          </w:tcPr>
          <w:p w14:paraId="6D16F9E2" w14:textId="77777777" w:rsidR="004A0394" w:rsidRDefault="00000000">
            <w:pPr>
              <w:pStyle w:val="Compact"/>
            </w:pPr>
            <w:r>
              <w:t>Strong</w:t>
            </w:r>
          </w:p>
        </w:tc>
        <w:tc>
          <w:tcPr>
            <w:tcW w:w="0" w:type="auto"/>
          </w:tcPr>
          <w:p w14:paraId="257D33FC" w14:textId="77777777" w:rsidR="004A0394" w:rsidRDefault="00000000">
            <w:pPr>
              <w:pStyle w:val="Compact"/>
            </w:pPr>
            <w:r>
              <w:t>Important</w:t>
            </w:r>
          </w:p>
        </w:tc>
      </w:tr>
      <w:tr w:rsidR="004A0394" w14:paraId="68CA0D34" w14:textId="77777777" w:rsidTr="00CE5D31">
        <w:tc>
          <w:tcPr>
            <w:tcW w:w="0" w:type="auto"/>
          </w:tcPr>
          <w:p w14:paraId="69F784B0" w14:textId="77777777" w:rsidR="004A0394" w:rsidRDefault="00000000">
            <w:pPr>
              <w:pStyle w:val="Compact"/>
            </w:pPr>
            <w:r>
              <w:rPr>
                <w:b/>
                <w:bCs/>
              </w:rPr>
              <w:t>Demonstrated familiarity in the research statement with the current state of knowledge in the relevant industry</w:t>
            </w:r>
          </w:p>
        </w:tc>
        <w:tc>
          <w:tcPr>
            <w:tcW w:w="0" w:type="auto"/>
          </w:tcPr>
          <w:p w14:paraId="57AA4142" w14:textId="77777777" w:rsidR="004A0394" w:rsidRDefault="00000000">
            <w:pPr>
              <w:pStyle w:val="Compact"/>
            </w:pPr>
            <w:r>
              <w:rPr>
                <w:b/>
                <w:bCs/>
              </w:rPr>
              <w:t>0.99</w:t>
            </w:r>
          </w:p>
        </w:tc>
        <w:tc>
          <w:tcPr>
            <w:tcW w:w="0" w:type="auto"/>
          </w:tcPr>
          <w:p w14:paraId="39965B57" w14:textId="77777777" w:rsidR="004A0394" w:rsidRDefault="00000000">
            <w:pPr>
              <w:pStyle w:val="Compact"/>
            </w:pPr>
            <w:r>
              <w:rPr>
                <w:b/>
                <w:bCs/>
              </w:rPr>
              <w:t>Strong</w:t>
            </w:r>
          </w:p>
        </w:tc>
        <w:tc>
          <w:tcPr>
            <w:tcW w:w="0" w:type="auto"/>
          </w:tcPr>
          <w:p w14:paraId="583AF4B1" w14:textId="77777777" w:rsidR="004A0394" w:rsidRDefault="00000000">
            <w:pPr>
              <w:pStyle w:val="Compact"/>
            </w:pPr>
            <w:r>
              <w:rPr>
                <w:b/>
                <w:bCs/>
              </w:rPr>
              <w:t>Important</w:t>
            </w:r>
          </w:p>
        </w:tc>
      </w:tr>
      <w:tr w:rsidR="004A0394" w14:paraId="6839DA03" w14:textId="77777777" w:rsidTr="00CE5D31">
        <w:tc>
          <w:tcPr>
            <w:tcW w:w="0" w:type="auto"/>
          </w:tcPr>
          <w:p w14:paraId="2A697B1A" w14:textId="77777777" w:rsidR="004A0394" w:rsidRDefault="00000000">
            <w:pPr>
              <w:pStyle w:val="Compact"/>
            </w:pPr>
            <w:r>
              <w:rPr>
                <w:b/>
                <w:bCs/>
              </w:rPr>
              <w:t>Whether the NTRO creator is a substantive university staff member or an adjunct/honorary</w:t>
            </w:r>
          </w:p>
        </w:tc>
        <w:tc>
          <w:tcPr>
            <w:tcW w:w="0" w:type="auto"/>
          </w:tcPr>
          <w:p w14:paraId="2BA46DE9" w14:textId="77777777" w:rsidR="004A0394" w:rsidRDefault="00000000">
            <w:pPr>
              <w:pStyle w:val="Compact"/>
            </w:pPr>
            <w:r>
              <w:rPr>
                <w:b/>
                <w:bCs/>
              </w:rPr>
              <w:t>1.06</w:t>
            </w:r>
          </w:p>
        </w:tc>
        <w:tc>
          <w:tcPr>
            <w:tcW w:w="0" w:type="auto"/>
          </w:tcPr>
          <w:p w14:paraId="5E1958D6" w14:textId="77777777" w:rsidR="004A0394" w:rsidRDefault="00000000">
            <w:pPr>
              <w:pStyle w:val="Compact"/>
            </w:pPr>
            <w:r>
              <w:rPr>
                <w:b/>
                <w:bCs/>
              </w:rPr>
              <w:t>Fair</w:t>
            </w:r>
          </w:p>
        </w:tc>
        <w:tc>
          <w:tcPr>
            <w:tcW w:w="0" w:type="auto"/>
          </w:tcPr>
          <w:p w14:paraId="0D71F7BE" w14:textId="77777777" w:rsidR="004A0394" w:rsidRDefault="00000000">
            <w:pPr>
              <w:pStyle w:val="Compact"/>
            </w:pPr>
            <w:r>
              <w:rPr>
                <w:b/>
                <w:bCs/>
              </w:rPr>
              <w:t>Unimportant</w:t>
            </w:r>
          </w:p>
        </w:tc>
      </w:tr>
      <w:tr w:rsidR="004A0394" w14:paraId="52123B58" w14:textId="77777777" w:rsidTr="00CE5D31">
        <w:tc>
          <w:tcPr>
            <w:tcW w:w="0" w:type="auto"/>
          </w:tcPr>
          <w:p w14:paraId="0E6D8274" w14:textId="77777777" w:rsidR="004A0394" w:rsidRDefault="00000000">
            <w:pPr>
              <w:pStyle w:val="Compact"/>
            </w:pPr>
            <w:r>
              <w:t>The scale of the NTRO</w:t>
            </w:r>
          </w:p>
        </w:tc>
        <w:tc>
          <w:tcPr>
            <w:tcW w:w="0" w:type="auto"/>
          </w:tcPr>
          <w:p w14:paraId="1A325C0F" w14:textId="77777777" w:rsidR="004A0394" w:rsidRDefault="00000000">
            <w:pPr>
              <w:pStyle w:val="Compact"/>
            </w:pPr>
            <w:r>
              <w:t>1.09</w:t>
            </w:r>
          </w:p>
        </w:tc>
        <w:tc>
          <w:tcPr>
            <w:tcW w:w="0" w:type="auto"/>
          </w:tcPr>
          <w:p w14:paraId="19025C9B" w14:textId="77777777" w:rsidR="004A0394" w:rsidRDefault="00000000">
            <w:pPr>
              <w:pStyle w:val="Compact"/>
            </w:pPr>
            <w:r>
              <w:t>Fair</w:t>
            </w:r>
          </w:p>
        </w:tc>
        <w:tc>
          <w:tcPr>
            <w:tcW w:w="0" w:type="auto"/>
          </w:tcPr>
          <w:p w14:paraId="0AA75FC8" w14:textId="77777777" w:rsidR="004A0394" w:rsidRDefault="00000000">
            <w:pPr>
              <w:pStyle w:val="Compact"/>
            </w:pPr>
            <w:r>
              <w:t>Important</w:t>
            </w:r>
          </w:p>
        </w:tc>
      </w:tr>
      <w:tr w:rsidR="004A0394" w14:paraId="7707293A" w14:textId="77777777" w:rsidTr="00CE5D31">
        <w:tc>
          <w:tcPr>
            <w:tcW w:w="0" w:type="auto"/>
          </w:tcPr>
          <w:p w14:paraId="207B87F2" w14:textId="77777777" w:rsidR="004A0394" w:rsidRDefault="00000000">
            <w:pPr>
              <w:pStyle w:val="Compact"/>
            </w:pPr>
            <w:r>
              <w:t>Whether the NTRO has been critically reviewed in a journal, magazine or book</w:t>
            </w:r>
          </w:p>
        </w:tc>
        <w:tc>
          <w:tcPr>
            <w:tcW w:w="0" w:type="auto"/>
          </w:tcPr>
          <w:p w14:paraId="3E1B14BF" w14:textId="77777777" w:rsidR="004A0394" w:rsidRDefault="00000000">
            <w:pPr>
              <w:pStyle w:val="Compact"/>
            </w:pPr>
            <w:r>
              <w:t>1.19</w:t>
            </w:r>
          </w:p>
        </w:tc>
        <w:tc>
          <w:tcPr>
            <w:tcW w:w="0" w:type="auto"/>
          </w:tcPr>
          <w:p w14:paraId="2FF7C851" w14:textId="77777777" w:rsidR="004A0394" w:rsidRDefault="00000000">
            <w:pPr>
              <w:pStyle w:val="Compact"/>
            </w:pPr>
            <w:r>
              <w:t>Fair</w:t>
            </w:r>
          </w:p>
        </w:tc>
        <w:tc>
          <w:tcPr>
            <w:tcW w:w="0" w:type="auto"/>
          </w:tcPr>
          <w:p w14:paraId="4FCC989A" w14:textId="77777777" w:rsidR="004A0394" w:rsidRDefault="00000000">
            <w:pPr>
              <w:pStyle w:val="Compact"/>
            </w:pPr>
            <w:r>
              <w:t>Relevant</w:t>
            </w:r>
          </w:p>
        </w:tc>
      </w:tr>
      <w:tr w:rsidR="004A0394" w14:paraId="08B791C9" w14:textId="77777777" w:rsidTr="00CE5D31">
        <w:tc>
          <w:tcPr>
            <w:tcW w:w="0" w:type="auto"/>
          </w:tcPr>
          <w:p w14:paraId="68C59BBD" w14:textId="77777777" w:rsidR="004A0394" w:rsidRDefault="00000000">
            <w:pPr>
              <w:pStyle w:val="Compact"/>
            </w:pPr>
            <w:r>
              <w:t>Whether the work represents an advance on the present state of practice</w:t>
            </w:r>
          </w:p>
        </w:tc>
        <w:tc>
          <w:tcPr>
            <w:tcW w:w="0" w:type="auto"/>
          </w:tcPr>
          <w:p w14:paraId="7FF4A3A8" w14:textId="77777777" w:rsidR="004A0394" w:rsidRDefault="00000000">
            <w:pPr>
              <w:pStyle w:val="Compact"/>
            </w:pPr>
            <w:r>
              <w:t>1.22</w:t>
            </w:r>
          </w:p>
        </w:tc>
        <w:tc>
          <w:tcPr>
            <w:tcW w:w="0" w:type="auto"/>
          </w:tcPr>
          <w:p w14:paraId="673769DA" w14:textId="77777777" w:rsidR="004A0394" w:rsidRDefault="00000000">
            <w:pPr>
              <w:pStyle w:val="Compact"/>
            </w:pPr>
            <w:r>
              <w:t>Mild</w:t>
            </w:r>
          </w:p>
        </w:tc>
        <w:tc>
          <w:tcPr>
            <w:tcW w:w="0" w:type="auto"/>
          </w:tcPr>
          <w:p w14:paraId="53E4B9C5" w14:textId="77777777" w:rsidR="004A0394" w:rsidRDefault="00000000">
            <w:pPr>
              <w:pStyle w:val="Compact"/>
            </w:pPr>
            <w:r>
              <w:t>Important</w:t>
            </w:r>
          </w:p>
        </w:tc>
      </w:tr>
      <w:tr w:rsidR="004A0394" w14:paraId="21019390" w14:textId="77777777" w:rsidTr="00CE5D31">
        <w:tc>
          <w:tcPr>
            <w:tcW w:w="0" w:type="auto"/>
          </w:tcPr>
          <w:p w14:paraId="05608FFC" w14:textId="77777777" w:rsidR="004A0394" w:rsidRDefault="00000000">
            <w:pPr>
              <w:pStyle w:val="Compact"/>
            </w:pPr>
            <w:r>
              <w:t>Evidence of industry/community engagement</w:t>
            </w:r>
          </w:p>
        </w:tc>
        <w:tc>
          <w:tcPr>
            <w:tcW w:w="0" w:type="auto"/>
          </w:tcPr>
          <w:p w14:paraId="6480605B" w14:textId="77777777" w:rsidR="004A0394" w:rsidRDefault="00000000">
            <w:pPr>
              <w:pStyle w:val="Compact"/>
            </w:pPr>
            <w:r>
              <w:t>1.27</w:t>
            </w:r>
          </w:p>
        </w:tc>
        <w:tc>
          <w:tcPr>
            <w:tcW w:w="0" w:type="auto"/>
          </w:tcPr>
          <w:p w14:paraId="2BFD6A89" w14:textId="77777777" w:rsidR="004A0394" w:rsidRDefault="00000000">
            <w:pPr>
              <w:pStyle w:val="Compact"/>
            </w:pPr>
            <w:r>
              <w:t>Mild</w:t>
            </w:r>
          </w:p>
        </w:tc>
        <w:tc>
          <w:tcPr>
            <w:tcW w:w="0" w:type="auto"/>
          </w:tcPr>
          <w:p w14:paraId="33ECDDB1" w14:textId="77777777" w:rsidR="004A0394" w:rsidRDefault="00000000">
            <w:pPr>
              <w:pStyle w:val="Compact"/>
            </w:pPr>
            <w:r>
              <w:t>Important</w:t>
            </w:r>
          </w:p>
        </w:tc>
      </w:tr>
      <w:tr w:rsidR="004A0394" w14:paraId="4B88B647" w14:textId="77777777" w:rsidTr="00CE5D31">
        <w:tc>
          <w:tcPr>
            <w:tcW w:w="0" w:type="auto"/>
          </w:tcPr>
          <w:p w14:paraId="5486C0FF" w14:textId="77777777" w:rsidR="004A0394" w:rsidRDefault="00000000">
            <w:pPr>
              <w:pStyle w:val="Compact"/>
            </w:pPr>
            <w:r>
              <w:t>Whether the work has been shortlisted for non-academic awards</w:t>
            </w:r>
          </w:p>
        </w:tc>
        <w:tc>
          <w:tcPr>
            <w:tcW w:w="0" w:type="auto"/>
          </w:tcPr>
          <w:p w14:paraId="50A6CDA1" w14:textId="77777777" w:rsidR="004A0394" w:rsidRDefault="00000000">
            <w:pPr>
              <w:pStyle w:val="Compact"/>
            </w:pPr>
            <w:r>
              <w:t>1.30</w:t>
            </w:r>
          </w:p>
        </w:tc>
        <w:tc>
          <w:tcPr>
            <w:tcW w:w="0" w:type="auto"/>
          </w:tcPr>
          <w:p w14:paraId="2A2B6EE8" w14:textId="77777777" w:rsidR="004A0394" w:rsidRDefault="00000000">
            <w:pPr>
              <w:pStyle w:val="Compact"/>
            </w:pPr>
            <w:r>
              <w:t>Mild</w:t>
            </w:r>
          </w:p>
        </w:tc>
        <w:tc>
          <w:tcPr>
            <w:tcW w:w="0" w:type="auto"/>
          </w:tcPr>
          <w:p w14:paraId="5F4A96D1" w14:textId="77777777" w:rsidR="004A0394" w:rsidRDefault="00000000">
            <w:pPr>
              <w:pStyle w:val="Compact"/>
            </w:pPr>
            <w:r>
              <w:t>Relevant</w:t>
            </w:r>
          </w:p>
        </w:tc>
      </w:tr>
      <w:tr w:rsidR="004A0394" w14:paraId="097D94B5" w14:textId="77777777" w:rsidTr="00CE5D31">
        <w:tc>
          <w:tcPr>
            <w:tcW w:w="0" w:type="auto"/>
          </w:tcPr>
          <w:p w14:paraId="56C5A047" w14:textId="77777777" w:rsidR="004A0394" w:rsidRDefault="00000000">
            <w:pPr>
              <w:pStyle w:val="Compact"/>
            </w:pPr>
            <w:r>
              <w:t>The presence of a strong academic research question in the research statement</w:t>
            </w:r>
          </w:p>
        </w:tc>
        <w:tc>
          <w:tcPr>
            <w:tcW w:w="0" w:type="auto"/>
          </w:tcPr>
          <w:p w14:paraId="76A29F81" w14:textId="77777777" w:rsidR="004A0394" w:rsidRDefault="00000000">
            <w:pPr>
              <w:pStyle w:val="Compact"/>
            </w:pPr>
            <w:r>
              <w:t>1.39</w:t>
            </w:r>
          </w:p>
        </w:tc>
        <w:tc>
          <w:tcPr>
            <w:tcW w:w="0" w:type="auto"/>
          </w:tcPr>
          <w:p w14:paraId="57CDFE4A" w14:textId="77777777" w:rsidR="004A0394" w:rsidRDefault="00000000">
            <w:pPr>
              <w:pStyle w:val="Compact"/>
            </w:pPr>
            <w:r>
              <w:t>Mild</w:t>
            </w:r>
          </w:p>
        </w:tc>
        <w:tc>
          <w:tcPr>
            <w:tcW w:w="0" w:type="auto"/>
          </w:tcPr>
          <w:p w14:paraId="14A1426A" w14:textId="77777777" w:rsidR="004A0394" w:rsidRDefault="00000000">
            <w:pPr>
              <w:pStyle w:val="Compact"/>
            </w:pPr>
            <w:r>
              <w:t>Important</w:t>
            </w:r>
          </w:p>
        </w:tc>
      </w:tr>
      <w:tr w:rsidR="004A0394" w14:paraId="06CCA848" w14:textId="77777777" w:rsidTr="00CE5D31">
        <w:tc>
          <w:tcPr>
            <w:tcW w:w="0" w:type="auto"/>
          </w:tcPr>
          <w:p w14:paraId="31BEA013" w14:textId="77777777" w:rsidR="004A0394" w:rsidRDefault="00000000">
            <w:pPr>
              <w:pStyle w:val="Compact"/>
            </w:pPr>
            <w:r>
              <w:t>The standing as academic researchers of other creators in the same context</w:t>
            </w:r>
          </w:p>
        </w:tc>
        <w:tc>
          <w:tcPr>
            <w:tcW w:w="0" w:type="auto"/>
          </w:tcPr>
          <w:p w14:paraId="790FB4D8" w14:textId="77777777" w:rsidR="004A0394" w:rsidRDefault="00000000">
            <w:pPr>
              <w:pStyle w:val="Compact"/>
            </w:pPr>
            <w:r>
              <w:t>1.42</w:t>
            </w:r>
          </w:p>
        </w:tc>
        <w:tc>
          <w:tcPr>
            <w:tcW w:w="0" w:type="auto"/>
          </w:tcPr>
          <w:p w14:paraId="6A99A84B" w14:textId="77777777" w:rsidR="004A0394" w:rsidRDefault="00000000">
            <w:pPr>
              <w:pStyle w:val="Compact"/>
            </w:pPr>
            <w:r>
              <w:t>Mild</w:t>
            </w:r>
          </w:p>
        </w:tc>
        <w:tc>
          <w:tcPr>
            <w:tcW w:w="0" w:type="auto"/>
          </w:tcPr>
          <w:p w14:paraId="23DA3FC2" w14:textId="77777777" w:rsidR="004A0394" w:rsidRDefault="00000000">
            <w:pPr>
              <w:pStyle w:val="Compact"/>
            </w:pPr>
            <w:r>
              <w:t>Relevant</w:t>
            </w:r>
          </w:p>
        </w:tc>
      </w:tr>
      <w:tr w:rsidR="004A0394" w14:paraId="332734BD" w14:textId="77777777" w:rsidTr="00CE5D31">
        <w:tc>
          <w:tcPr>
            <w:tcW w:w="0" w:type="auto"/>
          </w:tcPr>
          <w:p w14:paraId="74608B79" w14:textId="77777777" w:rsidR="004A0394" w:rsidRDefault="00000000">
            <w:pPr>
              <w:pStyle w:val="Compact"/>
            </w:pPr>
            <w:r>
              <w:t>The rigour of the program of academic research</w:t>
            </w:r>
          </w:p>
        </w:tc>
        <w:tc>
          <w:tcPr>
            <w:tcW w:w="0" w:type="auto"/>
          </w:tcPr>
          <w:p w14:paraId="36D39F70" w14:textId="77777777" w:rsidR="004A0394" w:rsidRDefault="00000000">
            <w:pPr>
              <w:pStyle w:val="Compact"/>
            </w:pPr>
            <w:r>
              <w:t>1.51</w:t>
            </w:r>
          </w:p>
        </w:tc>
        <w:tc>
          <w:tcPr>
            <w:tcW w:w="0" w:type="auto"/>
          </w:tcPr>
          <w:p w14:paraId="6F98568A" w14:textId="77777777" w:rsidR="004A0394" w:rsidRDefault="00000000">
            <w:pPr>
              <w:pStyle w:val="Compact"/>
            </w:pPr>
            <w:r>
              <w:t>Weak</w:t>
            </w:r>
          </w:p>
        </w:tc>
        <w:tc>
          <w:tcPr>
            <w:tcW w:w="0" w:type="auto"/>
          </w:tcPr>
          <w:p w14:paraId="423CD795" w14:textId="77777777" w:rsidR="004A0394" w:rsidRDefault="00000000">
            <w:pPr>
              <w:pStyle w:val="Compact"/>
            </w:pPr>
            <w:r>
              <w:t>Important</w:t>
            </w:r>
          </w:p>
        </w:tc>
      </w:tr>
      <w:tr w:rsidR="004A0394" w14:paraId="4A75AA49" w14:textId="77777777" w:rsidTr="00CE5D31">
        <w:tc>
          <w:tcPr>
            <w:tcW w:w="0" w:type="auto"/>
          </w:tcPr>
          <w:p w14:paraId="021F06B0" w14:textId="77777777" w:rsidR="004A0394" w:rsidRDefault="00000000">
            <w:pPr>
              <w:pStyle w:val="Compact"/>
            </w:pPr>
            <w:r>
              <w:lastRenderedPageBreak/>
              <w:t>Whether the work is practice-based, practice-led, or uses practice to report data</w:t>
            </w:r>
          </w:p>
        </w:tc>
        <w:tc>
          <w:tcPr>
            <w:tcW w:w="0" w:type="auto"/>
          </w:tcPr>
          <w:p w14:paraId="7B50411C" w14:textId="77777777" w:rsidR="004A0394" w:rsidRDefault="00000000">
            <w:pPr>
              <w:pStyle w:val="Compact"/>
            </w:pPr>
            <w:r>
              <w:t>1.68</w:t>
            </w:r>
          </w:p>
        </w:tc>
        <w:tc>
          <w:tcPr>
            <w:tcW w:w="0" w:type="auto"/>
          </w:tcPr>
          <w:p w14:paraId="50DED1B3" w14:textId="77777777" w:rsidR="004A0394" w:rsidRDefault="00000000">
            <w:pPr>
              <w:pStyle w:val="Compact"/>
            </w:pPr>
            <w:r>
              <w:t>Weak</w:t>
            </w:r>
          </w:p>
        </w:tc>
        <w:tc>
          <w:tcPr>
            <w:tcW w:w="0" w:type="auto"/>
          </w:tcPr>
          <w:p w14:paraId="0F1F9A78" w14:textId="77777777" w:rsidR="004A0394" w:rsidRDefault="00000000">
            <w:pPr>
              <w:pStyle w:val="Compact"/>
            </w:pPr>
            <w:r>
              <w:t>Relevant</w:t>
            </w:r>
          </w:p>
        </w:tc>
      </w:tr>
      <w:tr w:rsidR="004A0394" w14:paraId="03E9702A" w14:textId="77777777" w:rsidTr="00CE5D31">
        <w:tc>
          <w:tcPr>
            <w:tcW w:w="0" w:type="auto"/>
          </w:tcPr>
          <w:p w14:paraId="1F12914E" w14:textId="77777777" w:rsidR="004A0394" w:rsidRDefault="00000000">
            <w:pPr>
              <w:pStyle w:val="Compact"/>
            </w:pPr>
            <w:r>
              <w:t>Whether the NTRO producer was creator or curator/editor</w:t>
            </w:r>
          </w:p>
        </w:tc>
        <w:tc>
          <w:tcPr>
            <w:tcW w:w="0" w:type="auto"/>
          </w:tcPr>
          <w:p w14:paraId="265D2E8F" w14:textId="77777777" w:rsidR="004A0394" w:rsidRDefault="00000000">
            <w:pPr>
              <w:pStyle w:val="Compact"/>
            </w:pPr>
            <w:r>
              <w:t>1.80</w:t>
            </w:r>
          </w:p>
        </w:tc>
        <w:tc>
          <w:tcPr>
            <w:tcW w:w="0" w:type="auto"/>
          </w:tcPr>
          <w:p w14:paraId="5FCFF9E4" w14:textId="77777777" w:rsidR="004A0394" w:rsidRDefault="00000000">
            <w:pPr>
              <w:pStyle w:val="Compact"/>
            </w:pPr>
            <w:r>
              <w:t>Weak</w:t>
            </w:r>
          </w:p>
        </w:tc>
        <w:tc>
          <w:tcPr>
            <w:tcW w:w="0" w:type="auto"/>
          </w:tcPr>
          <w:p w14:paraId="48B286C8" w14:textId="77777777" w:rsidR="004A0394" w:rsidRDefault="00000000">
            <w:pPr>
              <w:pStyle w:val="Compact"/>
            </w:pPr>
            <w:r>
              <w:t>Important</w:t>
            </w:r>
          </w:p>
        </w:tc>
      </w:tr>
      <w:tr w:rsidR="004A0394" w14:paraId="652234F9" w14:textId="77777777" w:rsidTr="00CE5D31">
        <w:tc>
          <w:tcPr>
            <w:tcW w:w="0" w:type="auto"/>
          </w:tcPr>
          <w:p w14:paraId="2D80B601" w14:textId="77777777" w:rsidR="004A0394" w:rsidRDefault="00000000">
            <w:pPr>
              <w:pStyle w:val="Compact"/>
            </w:pPr>
            <w:r>
              <w:t>Whether the work is unique</w:t>
            </w:r>
          </w:p>
        </w:tc>
        <w:tc>
          <w:tcPr>
            <w:tcW w:w="0" w:type="auto"/>
          </w:tcPr>
          <w:p w14:paraId="3DD3076D" w14:textId="77777777" w:rsidR="004A0394" w:rsidRDefault="00000000">
            <w:pPr>
              <w:pStyle w:val="Compact"/>
            </w:pPr>
            <w:r>
              <w:t>1.86</w:t>
            </w:r>
          </w:p>
        </w:tc>
        <w:tc>
          <w:tcPr>
            <w:tcW w:w="0" w:type="auto"/>
          </w:tcPr>
          <w:p w14:paraId="63D0A9E0" w14:textId="77777777" w:rsidR="004A0394" w:rsidRDefault="00000000">
            <w:pPr>
              <w:pStyle w:val="Compact"/>
            </w:pPr>
            <w:r>
              <w:t>None</w:t>
            </w:r>
          </w:p>
        </w:tc>
        <w:tc>
          <w:tcPr>
            <w:tcW w:w="0" w:type="auto"/>
          </w:tcPr>
          <w:p w14:paraId="5711E8F0" w14:textId="77777777" w:rsidR="004A0394" w:rsidRDefault="00000000">
            <w:pPr>
              <w:pStyle w:val="Compact"/>
            </w:pPr>
            <w:r>
              <w:t xml:space="preserve">: </w:t>
            </w:r>
          </w:p>
        </w:tc>
      </w:tr>
      <w:tr w:rsidR="004A0394" w14:paraId="4F0FC096" w14:textId="77777777" w:rsidTr="00CE5D31">
        <w:tc>
          <w:tcPr>
            <w:tcW w:w="0" w:type="auto"/>
          </w:tcPr>
          <w:p w14:paraId="6C5722F9" w14:textId="77777777" w:rsidR="004A0394" w:rsidRDefault="00000000">
            <w:pPr>
              <w:pStyle w:val="Compact"/>
            </w:pPr>
            <w:r>
              <w:t>Evidence of academic peer review</w:t>
            </w:r>
          </w:p>
        </w:tc>
        <w:tc>
          <w:tcPr>
            <w:tcW w:w="0" w:type="auto"/>
          </w:tcPr>
          <w:p w14:paraId="65E5A796" w14:textId="77777777" w:rsidR="004A0394" w:rsidRDefault="00000000">
            <w:pPr>
              <w:pStyle w:val="Compact"/>
            </w:pPr>
            <w:r>
              <w:t>1.93</w:t>
            </w:r>
          </w:p>
        </w:tc>
        <w:tc>
          <w:tcPr>
            <w:tcW w:w="0" w:type="auto"/>
          </w:tcPr>
          <w:p w14:paraId="365B0C5F" w14:textId="77777777" w:rsidR="004A0394" w:rsidRDefault="00000000">
            <w:pPr>
              <w:pStyle w:val="Compact"/>
            </w:pPr>
            <w:r>
              <w:t>None</w:t>
            </w:r>
          </w:p>
        </w:tc>
        <w:tc>
          <w:tcPr>
            <w:tcW w:w="0" w:type="auto"/>
          </w:tcPr>
          <w:p w14:paraId="5DF65B0C" w14:textId="77777777" w:rsidR="004A0394" w:rsidRDefault="00000000">
            <w:pPr>
              <w:pStyle w:val="Compact"/>
            </w:pPr>
            <w:r>
              <w:t xml:space="preserve">: </w:t>
            </w:r>
          </w:p>
        </w:tc>
      </w:tr>
      <w:tr w:rsidR="004A0394" w14:paraId="3059E300" w14:textId="77777777" w:rsidTr="00CE5D31">
        <w:tc>
          <w:tcPr>
            <w:tcW w:w="0" w:type="auto"/>
          </w:tcPr>
          <w:p w14:paraId="2A5C238B" w14:textId="77777777" w:rsidR="004A0394" w:rsidRDefault="00000000">
            <w:pPr>
              <w:pStyle w:val="Compact"/>
            </w:pPr>
            <w:r>
              <w:t>The standing as practitioners of other creators in the same context</w:t>
            </w:r>
          </w:p>
        </w:tc>
        <w:tc>
          <w:tcPr>
            <w:tcW w:w="0" w:type="auto"/>
          </w:tcPr>
          <w:p w14:paraId="2BCC584D" w14:textId="77777777" w:rsidR="004A0394" w:rsidRDefault="00000000">
            <w:pPr>
              <w:pStyle w:val="Compact"/>
            </w:pPr>
            <w:r>
              <w:t>1.96</w:t>
            </w:r>
          </w:p>
        </w:tc>
        <w:tc>
          <w:tcPr>
            <w:tcW w:w="0" w:type="auto"/>
          </w:tcPr>
          <w:p w14:paraId="59643C6A" w14:textId="77777777" w:rsidR="004A0394" w:rsidRDefault="00000000">
            <w:pPr>
              <w:pStyle w:val="Compact"/>
            </w:pPr>
            <w:r>
              <w:t>None</w:t>
            </w:r>
          </w:p>
        </w:tc>
        <w:tc>
          <w:tcPr>
            <w:tcW w:w="0" w:type="auto"/>
          </w:tcPr>
          <w:p w14:paraId="756EA26B" w14:textId="77777777" w:rsidR="004A0394" w:rsidRDefault="00000000">
            <w:pPr>
              <w:pStyle w:val="Compact"/>
            </w:pPr>
            <w:r>
              <w:t xml:space="preserve">: </w:t>
            </w:r>
          </w:p>
        </w:tc>
      </w:tr>
      <w:tr w:rsidR="004A0394" w14:paraId="04D8DEB1" w14:textId="77777777" w:rsidTr="00CE5D31">
        <w:tc>
          <w:tcPr>
            <w:tcW w:w="0" w:type="auto"/>
          </w:tcPr>
          <w:p w14:paraId="036641B5" w14:textId="77777777" w:rsidR="004A0394" w:rsidRDefault="00000000">
            <w:pPr>
              <w:pStyle w:val="Compact"/>
            </w:pPr>
            <w:r>
              <w:t>Whether a work is high culture or popular culture</w:t>
            </w:r>
          </w:p>
        </w:tc>
        <w:tc>
          <w:tcPr>
            <w:tcW w:w="0" w:type="auto"/>
          </w:tcPr>
          <w:p w14:paraId="04F373E8" w14:textId="77777777" w:rsidR="004A0394" w:rsidRDefault="00000000">
            <w:pPr>
              <w:pStyle w:val="Compact"/>
            </w:pPr>
            <w:r>
              <w:t>2.47</w:t>
            </w:r>
          </w:p>
        </w:tc>
        <w:tc>
          <w:tcPr>
            <w:tcW w:w="0" w:type="auto"/>
          </w:tcPr>
          <w:p w14:paraId="0AB232C6" w14:textId="77777777" w:rsidR="004A0394" w:rsidRDefault="00000000">
            <w:pPr>
              <w:pStyle w:val="Compact"/>
            </w:pPr>
            <w:r>
              <w:t>None</w:t>
            </w:r>
          </w:p>
        </w:tc>
        <w:tc>
          <w:tcPr>
            <w:tcW w:w="0" w:type="auto"/>
          </w:tcPr>
          <w:p w14:paraId="71527ED6" w14:textId="77777777" w:rsidR="004A0394" w:rsidRDefault="00000000">
            <w:pPr>
              <w:pStyle w:val="Compact"/>
            </w:pPr>
            <w:r>
              <w:t xml:space="preserve">: </w:t>
            </w:r>
          </w:p>
        </w:tc>
      </w:tr>
    </w:tbl>
    <w:p w14:paraId="0EE3E506" w14:textId="77777777" w:rsidR="004A0394" w:rsidRDefault="00000000">
      <w:pPr>
        <w:pStyle w:val="BodyText"/>
      </w:pPr>
      <w:r>
        <w:t>Source: McKee (2020), Tables 1 and 2. The four bolded rows are the criteria on which McKee’s thirty experts reached substantial agreement.</w:t>
      </w:r>
    </w:p>
    <w:p w14:paraId="57D5DDE9" w14:textId="77777777" w:rsidR="004A0394" w:rsidRDefault="00000000">
      <w:pPr>
        <w:pStyle w:val="BodyText"/>
      </w:pPr>
      <w:r>
        <w:t>The pattern Section 6 identifies is visible in the table. The four consensus criteria (familiarity with the academic discipline; familiarity with the industry; evidence of scholarly engagement; staff/adjunct status as not the issue) are translation criteria. They ask the standard scholarly questions of any contribution: have you read the field, do you know the territory, has anyone taken it up. The criteria the field has invested in as its discipline-specific contribution (scale, uniqueness, practice-community success, the standing of co-exhibitors, the work’s advance on the state of practice, the rigour of the research program, whether the work is practice-based or practice-led) are precisely the criteria on which expert assessors cannot agree. The criterion “evidence of academic peer review” itself receives “no” agreement, with one of the highest standard deviations in the entire instrument. The discipline-specific project, on its own data, is in difficulty. The translation criteria, on the same data, are where consensus already sits.</w:t>
      </w:r>
    </w:p>
    <w:p w14:paraId="42AF1F77" w14:textId="77777777" w:rsidR="004A0394" w:rsidRDefault="00000000">
      <w:pPr>
        <w:pStyle w:val="BodyText"/>
      </w:pPr>
      <w:r>
        <w:t>McKee’s qualitative analysis sharpens the point. On scale (56% “it depends”), assessors split sharply: some held that a single ground-breaking work could outweigh a portfolio; others that bigger meant more significant. On the work’s success in the practice community (30% “it depends”), some held that a work could fail aesthetically and still constitute important research; others that the practice community’s judgement was the most important measure. On uniqueness (33% “it depends”), assessors disagreed on what “unique” even meant. These are not small disagreements about implementation. They are foundational disagreements about what the field is assessing. The translation criteria, by contrast, do not generate this disagreement: because they are not asking the discipline-specific question. They are asking the scholarly question that applies across disciplines, and applying it to creative practice work.</w:t>
      </w:r>
    </w:p>
    <w:p w14:paraId="535700AE" w14:textId="77777777" w:rsidR="004A0394" w:rsidRDefault="00000000">
      <w:pPr>
        <w:pStyle w:val="Heading1"/>
      </w:pPr>
      <w:bookmarkStart w:id="10" w:name="X4b7491a0ba471c9cf92c55c93d874aa54d6c831"/>
      <w:bookmarkEnd w:id="9"/>
      <w:r>
        <w:t>Appendix C: NTRO Evidence Template: structural scaffold</w:t>
      </w:r>
    </w:p>
    <w:p w14:paraId="4BC1F4FE" w14:textId="77777777" w:rsidR="004A0394" w:rsidRDefault="00000000">
      <w:pPr>
        <w:pStyle w:val="FirstParagraph"/>
      </w:pPr>
      <w:r>
        <w:t xml:space="preserve">This appendix reproduces the structural scaffold of the NTRO Evidence Template developed by the FASS NTRO Working Group at the University of Sydney. The template maps seven categories of creative practice output to the scholarly evaluation framework already endorsed by the institution: the FASS Academic Excellence Framework (2024) </w:t>
      </w:r>
      <w:r>
        <w:lastRenderedPageBreak/>
        <w:t>in the Sydney instance. The same structural template applies at other research-intensive Australian universities, with the fourth column populated against each institution’s own academic-evaluation matrix (the Academic Capability Framework at UNSW, the Academic Performance Pathways at ANU, the Academic Performance Framework at Melbourne, and their equivalents elsewhere). For each category, the template names the evidence the assessor should look for, the scholarly function that evidence performs, and the institutional-framework clauses the evidence activates. The fourth column is given here in placeholder form; the specific clause numbers in the current Sydney pilot version of the template are filled in by the FASS NTRO Working Group and are available on request, and the equivalent column at other institutions would be populated against their own frameworks. The template as scaffold, rather than as fully completed instrument, is what is reproduced here, because the scaffold is what the strategic argument relies on: an instrument that bridges creative practice outputs to whatever evaluation framework the institution already holds, without inventing new criteria.</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910"/>
        <w:gridCol w:w="2614"/>
        <w:gridCol w:w="2764"/>
        <w:gridCol w:w="1722"/>
      </w:tblGrid>
      <w:tr w:rsidR="004A0394" w14:paraId="3E6E1403" w14:textId="77777777" w:rsidTr="00CE5D3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6AE08FAF" w14:textId="77777777" w:rsidR="004A0394" w:rsidRDefault="00000000">
            <w:pPr>
              <w:pStyle w:val="Compact"/>
            </w:pPr>
            <w:r>
              <w:rPr>
                <w:b/>
                <w:bCs/>
              </w:rPr>
              <w:t>Output category</w:t>
            </w:r>
          </w:p>
        </w:tc>
        <w:tc>
          <w:tcPr>
            <w:tcW w:w="0" w:type="auto"/>
            <w:tcBorders>
              <w:bottom w:val="none" w:sz="0" w:space="0" w:color="auto"/>
            </w:tcBorders>
          </w:tcPr>
          <w:p w14:paraId="43F51D7E" w14:textId="77777777" w:rsidR="004A0394" w:rsidRDefault="00000000">
            <w:pPr>
              <w:pStyle w:val="Compact"/>
            </w:pPr>
            <w:r>
              <w:rPr>
                <w:b/>
                <w:bCs/>
              </w:rPr>
              <w:t>Evidence the assessor looks for</w:t>
            </w:r>
          </w:p>
        </w:tc>
        <w:tc>
          <w:tcPr>
            <w:tcW w:w="0" w:type="auto"/>
            <w:tcBorders>
              <w:bottom w:val="none" w:sz="0" w:space="0" w:color="auto"/>
            </w:tcBorders>
          </w:tcPr>
          <w:p w14:paraId="2D793A6C" w14:textId="77777777" w:rsidR="004A0394" w:rsidRDefault="00000000">
            <w:pPr>
              <w:pStyle w:val="Compact"/>
            </w:pPr>
            <w:r>
              <w:rPr>
                <w:b/>
                <w:bCs/>
              </w:rPr>
              <w:t>Scholarly function the evidence performs</w:t>
            </w:r>
          </w:p>
        </w:tc>
        <w:tc>
          <w:tcPr>
            <w:tcW w:w="0" w:type="auto"/>
            <w:tcBorders>
              <w:bottom w:val="none" w:sz="0" w:space="0" w:color="auto"/>
            </w:tcBorders>
          </w:tcPr>
          <w:p w14:paraId="1EC31E4C" w14:textId="77777777" w:rsidR="004A0394" w:rsidRDefault="00000000">
            <w:pPr>
              <w:pStyle w:val="Compact"/>
            </w:pPr>
            <w:r>
              <w:rPr>
                <w:b/>
                <w:bCs/>
              </w:rPr>
              <w:t>Institutional framework clauses activated</w:t>
            </w:r>
          </w:p>
        </w:tc>
      </w:tr>
      <w:tr w:rsidR="004A0394" w14:paraId="143B63BF" w14:textId="77777777" w:rsidTr="00CE5D31">
        <w:tc>
          <w:tcPr>
            <w:tcW w:w="0" w:type="auto"/>
          </w:tcPr>
          <w:p w14:paraId="20029F18" w14:textId="77777777" w:rsidR="004A0394" w:rsidRDefault="00000000">
            <w:pPr>
              <w:pStyle w:val="Compact"/>
            </w:pPr>
            <w:r>
              <w:t>Major solo exhibition</w:t>
            </w:r>
          </w:p>
        </w:tc>
        <w:tc>
          <w:tcPr>
            <w:tcW w:w="0" w:type="auto"/>
          </w:tcPr>
          <w:p w14:paraId="1F9E13B1" w14:textId="77777777" w:rsidR="004A0394" w:rsidRDefault="00000000">
            <w:pPr>
              <w:pStyle w:val="Compact"/>
            </w:pPr>
            <w:r>
              <w:t>Invitation and selection by recognised institution; catalogue essay or comparable scholarly framing; attendance and uptake; subsequent re-exhibition or acquisition; citation in critical writing or subsequent practice.</w:t>
            </w:r>
          </w:p>
        </w:tc>
        <w:tc>
          <w:tcPr>
            <w:tcW w:w="0" w:type="auto"/>
          </w:tcPr>
          <w:p w14:paraId="0E663B14" w14:textId="77777777" w:rsidR="004A0394" w:rsidRDefault="00000000">
            <w:pPr>
              <w:pStyle w:val="Compact"/>
            </w:pPr>
            <w:r>
              <w:t>Curatorial selection performs peer review; catalogue essay performs scholarly framing of the contribution; uptake performs citation; subsequent re-exhibition performs ongoing scholarly engagement.</w:t>
            </w:r>
          </w:p>
        </w:tc>
        <w:tc>
          <w:tcPr>
            <w:tcW w:w="0" w:type="auto"/>
          </w:tcPr>
          <w:p w14:paraId="02F53693" w14:textId="77777777" w:rsidR="004A0394" w:rsidRDefault="00000000">
            <w:pPr>
              <w:pStyle w:val="Compact"/>
            </w:pPr>
            <w:r>
              <w:rPr>
                <w:i/>
                <w:iCs/>
              </w:rPr>
              <w:t>[Framework clause numbers to insert]</w:t>
            </w:r>
          </w:p>
        </w:tc>
      </w:tr>
      <w:tr w:rsidR="004A0394" w14:paraId="2DF08CFD" w14:textId="77777777" w:rsidTr="00CE5D31">
        <w:tc>
          <w:tcPr>
            <w:tcW w:w="0" w:type="auto"/>
          </w:tcPr>
          <w:p w14:paraId="456E4EA9" w14:textId="77777777" w:rsidR="004A0394" w:rsidRDefault="00000000">
            <w:pPr>
              <w:pStyle w:val="Compact"/>
            </w:pPr>
            <w:r>
              <w:t>Curatorial selection into a major group exhibition</w:t>
            </w:r>
          </w:p>
        </w:tc>
        <w:tc>
          <w:tcPr>
            <w:tcW w:w="0" w:type="auto"/>
          </w:tcPr>
          <w:p w14:paraId="33CC83AF" w14:textId="77777777" w:rsidR="004A0394" w:rsidRDefault="00000000">
            <w:pPr>
              <w:pStyle w:val="Compact"/>
            </w:pPr>
            <w:r>
              <w:t>Competitive selection from a field of practitioners; curatorial rationale positioning the work in the exhibition’s discourse; institutional standing of the curator and venue; documentation of the selection process.</w:t>
            </w:r>
          </w:p>
        </w:tc>
        <w:tc>
          <w:tcPr>
            <w:tcW w:w="0" w:type="auto"/>
          </w:tcPr>
          <w:p w14:paraId="47E4A5B1" w14:textId="77777777" w:rsidR="004A0394" w:rsidRDefault="00000000">
            <w:pPr>
              <w:pStyle w:val="Compact"/>
            </w:pPr>
            <w:r>
              <w:t>Competitive selection performs peer review at the level of contribution selection (cognate with journal acceptance); curatorial rationale performs scholarly contextualisation.</w:t>
            </w:r>
          </w:p>
        </w:tc>
        <w:tc>
          <w:tcPr>
            <w:tcW w:w="0" w:type="auto"/>
          </w:tcPr>
          <w:p w14:paraId="29B55E54" w14:textId="77777777" w:rsidR="004A0394" w:rsidRDefault="00000000">
            <w:pPr>
              <w:pStyle w:val="Compact"/>
            </w:pPr>
            <w:r>
              <w:rPr>
                <w:i/>
                <w:iCs/>
              </w:rPr>
              <w:t>[Framework clause numbers to insert]</w:t>
            </w:r>
          </w:p>
        </w:tc>
      </w:tr>
      <w:tr w:rsidR="004A0394" w14:paraId="0895371E" w14:textId="77777777" w:rsidTr="00CE5D31">
        <w:tc>
          <w:tcPr>
            <w:tcW w:w="0" w:type="auto"/>
          </w:tcPr>
          <w:p w14:paraId="005DA2E6" w14:textId="77777777" w:rsidR="004A0394" w:rsidRDefault="00000000">
            <w:pPr>
              <w:pStyle w:val="Compact"/>
            </w:pPr>
            <w:r>
              <w:t>Competitive commissioning</w:t>
            </w:r>
          </w:p>
        </w:tc>
        <w:tc>
          <w:tcPr>
            <w:tcW w:w="0" w:type="auto"/>
          </w:tcPr>
          <w:p w14:paraId="233F14FE" w14:textId="77777777" w:rsidR="004A0394" w:rsidRDefault="00000000">
            <w:pPr>
              <w:pStyle w:val="Compact"/>
            </w:pPr>
            <w:r>
              <w:t xml:space="preserve">Open call or competitive shortlist; expert selection panel; brief or commissioning rationale; standing of the commissioning </w:t>
            </w:r>
            <w:r>
              <w:lastRenderedPageBreak/>
              <w:t>body; value of the commission.</w:t>
            </w:r>
          </w:p>
        </w:tc>
        <w:tc>
          <w:tcPr>
            <w:tcW w:w="0" w:type="auto"/>
          </w:tcPr>
          <w:p w14:paraId="46151A08" w14:textId="77777777" w:rsidR="004A0394" w:rsidRDefault="00000000">
            <w:pPr>
              <w:pStyle w:val="Compact"/>
            </w:pPr>
            <w:r>
              <w:lastRenderedPageBreak/>
              <w:t xml:space="preserve">Competitive selection by an expert panel performs the function of competitive research grant assessment; commission value </w:t>
            </w:r>
            <w:r>
              <w:lastRenderedPageBreak/>
              <w:t>functions as research income.</w:t>
            </w:r>
          </w:p>
        </w:tc>
        <w:tc>
          <w:tcPr>
            <w:tcW w:w="0" w:type="auto"/>
          </w:tcPr>
          <w:p w14:paraId="32949141" w14:textId="77777777" w:rsidR="004A0394" w:rsidRDefault="00000000">
            <w:pPr>
              <w:pStyle w:val="Compact"/>
            </w:pPr>
            <w:r>
              <w:rPr>
                <w:i/>
                <w:iCs/>
              </w:rPr>
              <w:lastRenderedPageBreak/>
              <w:t>[Framework clause numbers to insert]</w:t>
            </w:r>
          </w:p>
        </w:tc>
      </w:tr>
      <w:tr w:rsidR="004A0394" w14:paraId="118EFF0D" w14:textId="77777777" w:rsidTr="00CE5D31">
        <w:tc>
          <w:tcPr>
            <w:tcW w:w="0" w:type="auto"/>
          </w:tcPr>
          <w:p w14:paraId="5F703ED5" w14:textId="77777777" w:rsidR="004A0394" w:rsidRDefault="00000000">
            <w:pPr>
              <w:pStyle w:val="Compact"/>
            </w:pPr>
            <w:r>
              <w:t>Acquisition by a major public collecting institution</w:t>
            </w:r>
          </w:p>
        </w:tc>
        <w:tc>
          <w:tcPr>
            <w:tcW w:w="0" w:type="auto"/>
          </w:tcPr>
          <w:p w14:paraId="70274F69" w14:textId="77777777" w:rsidR="004A0394" w:rsidRDefault="00000000">
            <w:pPr>
              <w:pStyle w:val="Compact"/>
            </w:pPr>
            <w:r>
              <w:t>Written curatorial rationale for acquisition; acquisition committee review; conservation and ongoing institutional commitment; subsequent re-exhibition or catalogue documentation.</w:t>
            </w:r>
          </w:p>
        </w:tc>
        <w:tc>
          <w:tcPr>
            <w:tcW w:w="0" w:type="auto"/>
          </w:tcPr>
          <w:p w14:paraId="2F1E6DC6" w14:textId="77777777" w:rsidR="004A0394" w:rsidRDefault="00000000">
            <w:pPr>
              <w:pStyle w:val="Compact"/>
            </w:pPr>
            <w:r>
              <w:t>Acquisition performs institutional impact assessment in a binding form; the AEF’s own recognition of acquisition as a quality measure applies directly.</w:t>
            </w:r>
          </w:p>
        </w:tc>
        <w:tc>
          <w:tcPr>
            <w:tcW w:w="0" w:type="auto"/>
          </w:tcPr>
          <w:p w14:paraId="3D661DB8" w14:textId="77777777" w:rsidR="004A0394" w:rsidRDefault="00000000">
            <w:pPr>
              <w:pStyle w:val="Compact"/>
            </w:pPr>
            <w:r>
              <w:rPr>
                <w:i/>
                <w:iCs/>
              </w:rPr>
              <w:t>[Framework clause numbers to insert]</w:t>
            </w:r>
          </w:p>
        </w:tc>
      </w:tr>
      <w:tr w:rsidR="004A0394" w14:paraId="61029752" w14:textId="77777777" w:rsidTr="00CE5D31">
        <w:tc>
          <w:tcPr>
            <w:tcW w:w="0" w:type="auto"/>
          </w:tcPr>
          <w:p w14:paraId="35DB5C15" w14:textId="77777777" w:rsidR="004A0394" w:rsidRDefault="00000000">
            <w:pPr>
              <w:pStyle w:val="Compact"/>
            </w:pPr>
            <w:r>
              <w:t>Publication with a recognised press</w:t>
            </w:r>
          </w:p>
        </w:tc>
        <w:tc>
          <w:tcPr>
            <w:tcW w:w="0" w:type="auto"/>
          </w:tcPr>
          <w:p w14:paraId="3B685A9C" w14:textId="77777777" w:rsidR="004A0394" w:rsidRDefault="00000000">
            <w:pPr>
              <w:pStyle w:val="Compact"/>
            </w:pPr>
            <w:r>
              <w:t>Standing of the press; peer-reviewed status where applicable; editorial framing of the contribution; subsequent reviews and citation.</w:t>
            </w:r>
          </w:p>
        </w:tc>
        <w:tc>
          <w:tcPr>
            <w:tcW w:w="0" w:type="auto"/>
          </w:tcPr>
          <w:p w14:paraId="2D68E95E" w14:textId="77777777" w:rsidR="004A0394" w:rsidRDefault="00000000">
            <w:pPr>
              <w:pStyle w:val="Compact"/>
            </w:pPr>
            <w:r>
              <w:t>Functions as scholarly publication in the conventional sense, with no further translation required.</w:t>
            </w:r>
          </w:p>
        </w:tc>
        <w:tc>
          <w:tcPr>
            <w:tcW w:w="0" w:type="auto"/>
          </w:tcPr>
          <w:p w14:paraId="2CCD74B2" w14:textId="77777777" w:rsidR="004A0394" w:rsidRDefault="00000000">
            <w:pPr>
              <w:pStyle w:val="Compact"/>
            </w:pPr>
            <w:r>
              <w:rPr>
                <w:i/>
                <w:iCs/>
              </w:rPr>
              <w:t>[Framework clause numbers to insert]</w:t>
            </w:r>
          </w:p>
        </w:tc>
      </w:tr>
      <w:tr w:rsidR="004A0394" w14:paraId="6075A261" w14:textId="77777777" w:rsidTr="00CE5D31">
        <w:tc>
          <w:tcPr>
            <w:tcW w:w="0" w:type="auto"/>
          </w:tcPr>
          <w:p w14:paraId="3B7409A5" w14:textId="77777777" w:rsidR="004A0394" w:rsidRDefault="00000000">
            <w:pPr>
              <w:pStyle w:val="Compact"/>
            </w:pPr>
            <w:r>
              <w:t>Programming into festival or broadcast</w:t>
            </w:r>
          </w:p>
        </w:tc>
        <w:tc>
          <w:tcPr>
            <w:tcW w:w="0" w:type="auto"/>
          </w:tcPr>
          <w:p w14:paraId="6DA2C526" w14:textId="77777777" w:rsidR="004A0394" w:rsidRDefault="00000000">
            <w:pPr>
              <w:pStyle w:val="Compact"/>
            </w:pPr>
            <w:r>
              <w:t>Selection into a programme by expert curators or producers; standing of the festival or broadcaster; documentation of the selection process; reach and uptake.</w:t>
            </w:r>
          </w:p>
        </w:tc>
        <w:tc>
          <w:tcPr>
            <w:tcW w:w="0" w:type="auto"/>
          </w:tcPr>
          <w:p w14:paraId="18722437" w14:textId="77777777" w:rsidR="004A0394" w:rsidRDefault="00000000">
            <w:pPr>
              <w:pStyle w:val="Compact"/>
            </w:pPr>
            <w:r>
              <w:t>Programming performs editorial selection at scale; reach performs scholarly and public dissemination.</w:t>
            </w:r>
          </w:p>
        </w:tc>
        <w:tc>
          <w:tcPr>
            <w:tcW w:w="0" w:type="auto"/>
          </w:tcPr>
          <w:p w14:paraId="6DE40A8D" w14:textId="77777777" w:rsidR="004A0394" w:rsidRDefault="00000000">
            <w:pPr>
              <w:pStyle w:val="Compact"/>
            </w:pPr>
            <w:r>
              <w:rPr>
                <w:i/>
                <w:iCs/>
              </w:rPr>
              <w:t>[Framework clause numbers to insert]</w:t>
            </w:r>
          </w:p>
        </w:tc>
      </w:tr>
      <w:tr w:rsidR="004A0394" w14:paraId="6ED58B0B" w14:textId="77777777" w:rsidTr="00CE5D31">
        <w:tc>
          <w:tcPr>
            <w:tcW w:w="0" w:type="auto"/>
          </w:tcPr>
          <w:p w14:paraId="1BE3574E" w14:textId="77777777" w:rsidR="004A0394" w:rsidRDefault="00000000">
            <w:pPr>
              <w:pStyle w:val="Compact"/>
            </w:pPr>
            <w:r>
              <w:t>Citation over time</w:t>
            </w:r>
          </w:p>
        </w:tc>
        <w:tc>
          <w:tcPr>
            <w:tcW w:w="0" w:type="auto"/>
          </w:tcPr>
          <w:p w14:paraId="7B990CAC" w14:textId="77777777" w:rsidR="004A0394" w:rsidRDefault="00000000">
            <w:pPr>
              <w:pStyle w:val="Compact"/>
            </w:pPr>
            <w:r>
              <w:t>References in catalogue essays, critical writing, artist monographs, curatorial texts; uptake in subsequent artworks by other practitioners; re-exhibition in thematic surveys; sustained scholarly engagement.</w:t>
            </w:r>
          </w:p>
        </w:tc>
        <w:tc>
          <w:tcPr>
            <w:tcW w:w="0" w:type="auto"/>
          </w:tcPr>
          <w:p w14:paraId="39880B4F" w14:textId="77777777" w:rsidR="004A0394" w:rsidRDefault="00000000">
            <w:pPr>
              <w:pStyle w:val="Compact"/>
            </w:pPr>
            <w:r>
              <w:t>Performs citation in the scholarly sense, evidencing that the contribution has entered and been built upon within the discourse of the field.</w:t>
            </w:r>
          </w:p>
        </w:tc>
        <w:tc>
          <w:tcPr>
            <w:tcW w:w="0" w:type="auto"/>
          </w:tcPr>
          <w:p w14:paraId="3326B409" w14:textId="77777777" w:rsidR="004A0394" w:rsidRDefault="00000000">
            <w:pPr>
              <w:pStyle w:val="Compact"/>
            </w:pPr>
            <w:r>
              <w:rPr>
                <w:i/>
                <w:iCs/>
              </w:rPr>
              <w:t>[Framework clause numbers to insert]</w:t>
            </w:r>
          </w:p>
        </w:tc>
      </w:tr>
    </w:tbl>
    <w:p w14:paraId="114413AB" w14:textId="77777777" w:rsidR="004A0394" w:rsidRDefault="00000000">
      <w:pPr>
        <w:pStyle w:val="BodyText"/>
      </w:pPr>
      <w:r>
        <w:t xml:space="preserve">Read across the table, the structure of the template is visible. The first column names the output type; the second tells the assessor what evidence is appropriate to that type; the third translates the evidence into the scholarly functions the institution already recognises in textual research; the fourth identifies the clauses of the institutional academic-evaluation framework that the evidence activates: the AEF in the Sydney </w:t>
      </w:r>
      <w:r>
        <w:lastRenderedPageBreak/>
        <w:t>instance, or the equivalent framework at any other research-intensive Australian university. The quality judgement is not in the template. It is in the assessor, applying the institution’s evaluation criteria to the evidence the template has helped them see. What the template removes is the requirement that creative practice researchers argue, each time, for the legitimacy of their work as research before its quality can be assessed. The legitimacy is established by the structural equivalences the template names; what remains for the assessor is the quality judgement the institution always asks of any research contribution.</w:t>
      </w:r>
    </w:p>
    <w:p w14:paraId="7BB34588" w14:textId="77777777" w:rsidR="004A0394" w:rsidRDefault="00000000">
      <w:pPr>
        <w:pStyle w:val="Heading1"/>
      </w:pPr>
      <w:bookmarkStart w:id="11" w:name="appendix-d"/>
      <w:bookmarkEnd w:id="10"/>
      <w:r>
        <w:t>Appendix D: A case study in translation: NTRO assessment at Sydney College of the Arts</w:t>
      </w:r>
    </w:p>
    <w:p w14:paraId="277F7E60" w14:textId="77777777" w:rsidR="004A0394" w:rsidRDefault="00000000">
      <w:pPr>
        <w:pStyle w:val="FirstParagraph"/>
      </w:pPr>
      <w:r>
        <w:t>The argument of this paper has been developed at the level of strategy and structure. This appendix grounds it in operational practice. It describes how one school, Sydney College of the Arts within the Faculty of Arts and Social Sciences at the University of Sydney, has built and now runs an NTRO assessment process from the translation position rather than the exception position. The case study is offered as a worked example of what the argument looks like when it is converted from a claim about how creative practice research should be read into a process that reads it that way in the everyday life of a school. It is not offered as a finished model. It is offered as evidence that the translation position is operable, that it can be made to sit inside existing institutional machinery rather than alongside it, and that the points at which it strains are informative rather than disqualifying.</w:t>
      </w:r>
    </w:p>
    <w:p w14:paraId="611FE80A" w14:textId="77777777" w:rsidR="004A0394" w:rsidRDefault="00000000">
      <w:pPr>
        <w:pStyle w:val="Heading2"/>
      </w:pPr>
      <w:r>
        <w:t>D.1 The starting position</w:t>
      </w:r>
    </w:p>
    <w:p w14:paraId="2015A632" w14:textId="77777777" w:rsidR="004A0394" w:rsidRDefault="00000000">
      <w:pPr>
        <w:pStyle w:val="BodyText"/>
      </w:pPr>
      <w:r>
        <w:t>SCA is a school whose research outputs are predominantly non-traditional. In a faculty whose textual disciplines submit journal articles, monographs and book chapters as a matter of course, SCA submits exhibitions, public commissions, acquisitions, performances and creative publications. The administrative coefficient documented by Barwick and Toltz (2017), roughly two and a half times the research-unit time of a HERDC-eligible textual output, before the labour of assembling materials is counted, falls on SCA at the level of the whole school rather than the occasional output. This is the practical reason the translation position matters at SCA before it matters anywhere else in the faculty: the cost of the exception framing is not abstract here, it is the daily operating condition of the school's research administration.</w:t>
      </w:r>
    </w:p>
    <w:p w14:paraId="7995887A" w14:textId="77777777" w:rsidR="004A0394" w:rsidRDefault="00000000">
      <w:pPr>
        <w:pStyle w:val="BodyText"/>
      </w:pPr>
      <w:r>
        <w:t>The school's strategic decision, taken across 2024 and 2025 and reported in the SCA Research Director's annual reporting cycle, was to stop treating each NTRO as a case requiring fresh justification and to build instead a standing apparatus that reads creative practice outputs against the scholarly framework the institution already holds. The through-line of that work, stated in the school's own planning documents, is the recognition that creative practice research already meets the same scholarly standards as research in the humanities, social sciences and STEM disciplines, and that the work required is translation rather than special pleading. The apparatus described below proceeds from that position.</w:t>
      </w:r>
    </w:p>
    <w:p w14:paraId="78A1B8FD" w14:textId="77777777" w:rsidR="004A0394" w:rsidRDefault="00000000">
      <w:pPr>
        <w:pStyle w:val="Heading2"/>
      </w:pPr>
      <w:r>
        <w:lastRenderedPageBreak/>
        <w:t>D.2 The operational process</w:t>
      </w:r>
    </w:p>
    <w:p w14:paraId="6F42A7BC" w14:textId="141908D6" w:rsidR="004A0394" w:rsidRDefault="00000000">
      <w:pPr>
        <w:pStyle w:val="BodyText"/>
      </w:pPr>
      <w:r>
        <w:t xml:space="preserve">The SCA NTRO assessment process has a settled shape. An output is entered for assessment and allocated for peer assessment by the FASS Research Office. Assessors are drawn from the relevant disciplinary field and return recommendations against the five HERDC criteria for research and development activity: that the work is </w:t>
      </w:r>
      <w:r>
        <w:rPr>
          <w:b/>
          <w:bCs/>
        </w:rPr>
        <w:t>novel</w:t>
      </w:r>
      <w:r>
        <w:t xml:space="preserve">, </w:t>
      </w:r>
      <w:r>
        <w:rPr>
          <w:b/>
          <w:bCs/>
        </w:rPr>
        <w:t>creative</w:t>
      </w:r>
      <w:r>
        <w:t xml:space="preserve">, </w:t>
      </w:r>
      <w:r>
        <w:rPr>
          <w:b/>
          <w:bCs/>
        </w:rPr>
        <w:t>uncertain</w:t>
      </w:r>
      <w:r>
        <w:t xml:space="preserve">, </w:t>
      </w:r>
      <w:r>
        <w:rPr>
          <w:b/>
          <w:bCs/>
        </w:rPr>
        <w:t>systematic</w:t>
      </w:r>
      <w:r>
        <w:t xml:space="preserve">, and </w:t>
      </w:r>
      <w:r>
        <w:rPr>
          <w:b/>
          <w:bCs/>
        </w:rPr>
        <w:t>transferable and/or reproducible</w:t>
      </w:r>
      <w:r>
        <w:t xml:space="preserve">. These five criteria are not a local invention. They are the OECD Frascati Manual (2015) definition of research and experimental development, adopted into the Higher Education Research Data Collection (HERDC) specifications administered by the Department of Education, and applied sector-wide as the threshold definition of research that governs research-income reporting and Research Block Grant eligibility at every Australian university. The same five criteria are applied to a physics grant and a sociology project as to a creative practice output; they are not a creative-arts instrument. This is what gives the translation argument its firmest ground: the claim is not that creative practice should be measured against a bespoke standard built for it, but that it already satisfies the general, externally authored research definition that the whole sector is held to. The one point at which local interpretive labour has been added is the licence taken on the criterion of </w:t>
      </w:r>
      <w:r w:rsidR="00A64FCF">
        <w:t>“</w:t>
      </w:r>
      <w:r>
        <w:t>uncertainty</w:t>
      </w:r>
      <w:r w:rsidR="00A64FCF">
        <w:t>”</w:t>
      </w:r>
      <w:r>
        <w:t>: the gloss, supplied in the FASS assessment instructions rather than in HERDC or the Frascati Manual, that in the case of artistic activity uncertainty may be understood to sit with the reception of the work. That single translation move, discussed below, is the only departure from the standard national definition; everything else in the assessment is the sector-wide test applied unchanged. The assessment is supported by structured consideration of three further dimensions that the bare HERDC test does not itself supply: the curatorial context of the output, the venue context, and the output's status as a standalone work or as part of a portfolio. Documentation is held in Lab Archives, the University's eNotebook platform, which functions as the permanent evidence repository for verification materials: exhibition documentation, catalogues, commissioning evidence, media coverage, evidence of acquisition, and records of scholarly and curricular uptake.</w:t>
      </w:r>
    </w:p>
    <w:p w14:paraId="6B29D1CD" w14:textId="77777777" w:rsidR="004A0394" w:rsidRDefault="00000000">
      <w:pPr>
        <w:pStyle w:val="BodyText"/>
      </w:pPr>
      <w:r>
        <w:t>The crucial feature of this process, for the argument of the paper, is the distinction it draws between two questions that are easily run together. The peer assessment stage exists to determine whether the work meets the HERDC definition of research and development activity. It is not the stage at which the work's quality is evaluated for promotion or other internal academic-performance purposes. This is the same separation Section 4 develops as the difference between institutional gatekeeping into the research record and internal academic-performance assessment. At SCA the separation is not a conceptual nicety; it is built into the process as the difference between the assessor's task (does this meet the research-activity threshold) and the later, separate work of a promotion panel or performance review (is this high-quality research, at what level, with what trajectory). Keeping the two apart is what allows the threshold judgement to be made cleanly and consistently, and it is what protects the assessment from the instrumentalisation risk the ERA-rankings episode demonstrated.</w:t>
      </w:r>
    </w:p>
    <w:p w14:paraId="3E62A513" w14:textId="77777777" w:rsidR="004A0394" w:rsidRDefault="00000000">
      <w:pPr>
        <w:pStyle w:val="Heading2"/>
      </w:pPr>
      <w:r>
        <w:t>D.3 Translating the five HERDC activities</w:t>
      </w:r>
    </w:p>
    <w:p w14:paraId="6963B0A0" w14:textId="77777777" w:rsidR="004A0394" w:rsidRDefault="00000000">
      <w:pPr>
        <w:pStyle w:val="BodyText"/>
      </w:pPr>
      <w:r>
        <w:t xml:space="preserve">The five HERDC criteria were written for research and development activity in general, not for creative practice in particular. The translation work at SCA is the work of showing that a creative practice output satisfies each of the five on its own terms, </w:t>
      </w:r>
      <w:r>
        <w:lastRenderedPageBreak/>
        <w:t>without the criteria being bent and without the output being retooled to resemble something it is not. The mapping runs as follows.</w:t>
      </w:r>
    </w:p>
    <w:p w14:paraId="307BEB74" w14:textId="77777777" w:rsidR="004A0394" w:rsidRDefault="00000000">
      <w:pPr>
        <w:pStyle w:val="BodyText"/>
      </w:pPr>
      <w:r>
        <w:t xml:space="preserve">An output is </w:t>
      </w:r>
      <w:r>
        <w:rPr>
          <w:b/>
          <w:bCs/>
        </w:rPr>
        <w:t>novel</w:t>
      </w:r>
      <w:r>
        <w:t xml:space="preserve"> when it is aimed at new findings: in creative practice terms, when it proposes something not already established in the field, whether a new formal proposition, a new material approach, or a new reading of a site, a history or a tradition. An output is </w:t>
      </w:r>
      <w:r>
        <w:rPr>
          <w:b/>
          <w:bCs/>
        </w:rPr>
        <w:t>creative</w:t>
      </w:r>
      <w:r>
        <w:t xml:space="preserve"> when it is based on original, non-obvious concepts and hypotheses: the criterion creative practice meets most evidently, since originality of concept is the field's native currency. An output is </w:t>
      </w:r>
      <w:r>
        <w:rPr>
          <w:b/>
          <w:bCs/>
        </w:rPr>
        <w:t>systematic</w:t>
      </w:r>
      <w:r>
        <w:t xml:space="preserve"> when it is planned and budgeted: satisfied by the documented development process of a major exhibition or commission, the staged methodology, the studio programme, the iterative testing of material and form against the constraints of medium and site. An output is </w:t>
      </w:r>
      <w:r>
        <w:rPr>
          <w:b/>
          <w:bCs/>
        </w:rPr>
        <w:t>transferable and/or reproducible</w:t>
      </w:r>
      <w:r>
        <w:t xml:space="preserve"> when its findings can be taken up by others: satisfied not by literal reproducibility of the artwork, which is not the point, but by the portability of the proposition, the method or the frame, evidenced through curatorial uptake, citation in critical writing, and influence on subsequent practice.</w:t>
      </w:r>
    </w:p>
    <w:p w14:paraId="1D048840" w14:textId="77777777" w:rsidR="004A0394" w:rsidRDefault="00000000">
      <w:pPr>
        <w:pStyle w:val="BodyText"/>
      </w:pPr>
      <w:r>
        <w:t xml:space="preserve">The fifth criterion, </w:t>
      </w:r>
      <w:r>
        <w:rPr>
          <w:b/>
          <w:bCs/>
        </w:rPr>
        <w:t>uncertain</w:t>
      </w:r>
      <w:r>
        <w:t>, is the one that most rewards careful translation, and the SCA process takes the licence the HERDC framework itself invites. In experimental science, uncertainty sits with the outcome of a controlled test. In creative practice, uncertainty is better understood as sitting with the reception of the work: the artist cannot know in advance how the work will be read, what discourse it will enter, or what it will be found to mean once it is public. This is not a weaker form of uncertainty; it is uncertainty located at the point where the creative practice output does its epistemic work, which is in the encounter between the work and its expert and public audience. Reading uncertainty this way is consistent with the paper's larger claim that the exhibition is the site at which expert reception is brought to bear on the contribution, cognate in function with peer review. The uncertainty of reception and the peer-review function of curatorial selection are two descriptions of the same structural fact: that the creative practice output's research claim is tested in its reception, by experts, in public.</w:t>
      </w:r>
    </w:p>
    <w:p w14:paraId="51EBC130" w14:textId="77777777" w:rsidR="004A0394" w:rsidRDefault="00000000">
      <w:pPr>
        <w:pStyle w:val="Heading2"/>
      </w:pPr>
      <w:r>
        <w:t>D.4 Portfolio and standalone</w:t>
      </w:r>
    </w:p>
    <w:p w14:paraId="5C5F2248" w14:textId="77777777" w:rsidR="004A0394" w:rsidRDefault="00000000">
      <w:pPr>
        <w:pStyle w:val="BodyText"/>
      </w:pPr>
      <w:r>
        <w:t>The third of the structured dimensions the SCA process assesses, portfolio versus standalone status, addresses a feature of creative practice research that the textual disciplines encounter less often. Much creative practice research accumulates: a single creative idea generates a series or a range of related outputs over one or more years, and the research significance often sits at the level of the body of work rather than the individual piece. The SCA process recognises a portfolio as a collection of non-traditional outputs sharing the same underlying research question, forming a coherent body of work, derived from the same research endeavour whether broadly or narrowly defined. An individual output is considered for inclusion in a portfolio when it results from the development of a creative research idea that produces a series, or when it is part of a coherent research question but is not substantial enough to stand alone: a single short work, a brief critical review, an annual survey for an external body. The researcher remains the decision-maker on the substantive weight of their own work.</w:t>
      </w:r>
    </w:p>
    <w:p w14:paraId="48B307D0" w14:textId="77777777" w:rsidR="004A0394" w:rsidRDefault="00000000">
      <w:pPr>
        <w:pStyle w:val="BodyText"/>
      </w:pPr>
      <w:r>
        <w:t xml:space="preserve">The portfolio construct does real work for the translation argument. It is the mechanism by which the cumulative case described in Section 3 (the thirty-year research arc, the through-line of inquiry that lets a mid-career researcher build a Future Fellowship application around fifteen years of cumulative practice rather than a single project) is </w:t>
      </w:r>
      <w:r>
        <w:lastRenderedPageBreak/>
        <w:t>made assessable at the level of the individual output. A portfolio is not itself a distinct type of NTRO; it is a way of reading a set of NTROs together, where each component aligns with the definition of its own output type and contributes to the significance of the whole. Traditional outputs cannot be attached to an NTRO portfolio. The portfolio is, in effect, the citation-over-time category of the evidence template made operational at the point of assessment: it is where the accumulating record of expert judgement that builds scholarly capital in any field is recognised as doing exactly that.</w:t>
      </w:r>
    </w:p>
    <w:p w14:paraId="173F805F" w14:textId="77777777" w:rsidR="004A0394" w:rsidRDefault="00000000">
      <w:pPr>
        <w:pStyle w:val="Heading2"/>
      </w:pPr>
      <w:r>
        <w:t>D.5 The evidence template in use</w:t>
      </w:r>
    </w:p>
    <w:p w14:paraId="7A2C6CC3" w14:textId="77777777" w:rsidR="004A0394" w:rsidRDefault="00000000">
      <w:pPr>
        <w:pStyle w:val="BodyText"/>
      </w:pPr>
      <w:r>
        <w:t>The instrument that carries the translation at SCA is the NTRO Evidence Template, developed with the FASS NTRO Working Group, now in its third version and piloted within the school's assessment process. The template maps seven categories of creative practice output (major solo exhibition, curatorial selection into a major group exhibition, competitive commissioning, institutional acquisition, publication with a recognised press, programming into festival or broadcast, and citation over time) to the FASS Academic Excellence Framework Level D evidence menu. Its structural scaffold is reproduced in Appendix C; what Appendix C describes in the abstract, SCA runs in practice.</w:t>
      </w:r>
    </w:p>
    <w:p w14:paraId="15557425" w14:textId="77777777" w:rsidR="004A0394" w:rsidRDefault="00000000">
      <w:pPr>
        <w:pStyle w:val="BodyText"/>
      </w:pPr>
      <w:r>
        <w:t>The template's function in the SCA process is precisely the function the paper has argued for throughout. It does not invent new evaluation criteria. It tells the assessor what evidence to look for in each output category, what scholarly function each piece of evidence performs, and which clauses of the AEF the evidence activates. For a major solo exhibition it directs the assessor to the venue tier and selection process, the catalogue essay, the critical reception and the subsequent acquisition or re-exhibition, and it names what each of these performs: curatorial selection as peer review, catalogue essay as scholarly framing, acquisition and re-exhibition as citation. The template thereby allows the AEF's own questions to be applied to the work directly. The quality judgement remains where it belongs, with the assessor applying the AEF criteria the institution already holds, but the assessor is no longer required to first construct, from scratch, the bridge between the creative practice output and the scholarly framework. The template is that bridge, standing and reusable.</w:t>
      </w:r>
    </w:p>
    <w:p w14:paraId="0A557A4C" w14:textId="295A1EA0" w:rsidR="004A0394" w:rsidRDefault="00000000">
      <w:pPr>
        <w:pStyle w:val="BodyText"/>
      </w:pPr>
      <w:r>
        <w:t>A point is owed here about venue tiers and institutional standing, because the template's first category asks the assessor to indicate whether a solo exhibition is institutional, commercial or ARI, and this is exactly the codification the paper warns about in Section 4. The SCA position is consistent with that warning. The tier indication is a contextual reference for a senior assessor from the field, not a tier-count to be applied by a non-expert. It records the kind of standing judgement an expert assessor would make in any case: that a state museum solo exhibition, an established commercial gallery solo exhibition, and a peer-jury-selected ARI exhibition carry different and stratified weight, in the same way that a university press monograph, a strong trade press book and a respected specialist monograph carry different and stratified weight. The template names the stratification so that expert reading is supported and consistent; it does not license the stratification being counted in place of expert reading. The safeguard is the same one the paper proposes for any companion reference document: the instrument supports the assessor pool, it does not substitute for it.</w:t>
      </w:r>
    </w:p>
    <w:p w14:paraId="0C417AB2" w14:textId="77777777" w:rsidR="004A0394" w:rsidRDefault="00000000">
      <w:pPr>
        <w:pStyle w:val="Heading2"/>
      </w:pPr>
      <w:r>
        <w:lastRenderedPageBreak/>
        <w:t>D.6 What the case study shows, and where it strains</w:t>
      </w:r>
    </w:p>
    <w:p w14:paraId="470CC446" w14:textId="77777777" w:rsidR="004A0394" w:rsidRDefault="00000000">
      <w:pPr>
        <w:pStyle w:val="BodyText"/>
      </w:pPr>
      <w:r>
        <w:t>The SCA process demonstrates three things the paper has claimed. First, the translation position is operable: an entire school's NTRO assessment can be run from it, inside existing institutional machinery, without a parallel discipline-specific apparatus. Second, the five HERDC criteria can be satisfied by creative practice outputs on their own terms, with the single criterion of uncertainty rewarding the interpretive licence the HERDC framework itself invites. Third, the structural equivalences the paper argues for (curatorial selection as peer review, acquisition as institutional impact assessment, citation over time as scholarly citation) are not theoretical at SCA; they are the categories of a template in operational use, each tied to a clause of the institution's own evaluation framework.</w:t>
      </w:r>
    </w:p>
    <w:p w14:paraId="4FD28174" w14:textId="4332C6E4" w:rsidR="004A0394" w:rsidRDefault="00000000">
      <w:pPr>
        <w:pStyle w:val="BodyText"/>
      </w:pPr>
      <w:r>
        <w:t>The case study also shows where the position strains</w:t>
      </w:r>
      <w:r w:rsidR="00D50C12">
        <w:t>: t</w:t>
      </w:r>
      <w:r>
        <w:t xml:space="preserve">he reliability of the assessment depends on the quality of the assessor pool, exactly as Section 5 concedes; an assessor who cannot read curatorial selection as peer review will not assess the work reliably, and building a pool that consistently can is ongoing work rather than a solved problem. The venue-tier codification carries the ERA-rankings risk into the template's own first category, and holding it as expert reference rather than letting it harden into tier-counting requires continuing vigilance. And the separation between the research-threshold judgement and the later quality judgement, clean in principle, depends in practice on the people running the process keeping the two stages </w:t>
      </w:r>
      <w:r w:rsidR="009D616D">
        <w:t xml:space="preserve">clearly </w:t>
      </w:r>
      <w:r>
        <w:t>distinct rather than letting the threshold assessment drift into a de facto quality ranking. None of these strains is fatal. Each is the place where the translation position has to be maintained deliberately rather than assumed. That, finally, is the most useful thing a case study can show: not that the position is effortless, but that it holds under the weight of an actual school's actual outputs, and that the points where it requires care are known, named, and manageable.</w:t>
      </w:r>
    </w:p>
    <w:p w14:paraId="59BD18AE" w14:textId="77777777" w:rsidR="004A0394" w:rsidRDefault="00000000">
      <w:pPr>
        <w:pStyle w:val="Heading2"/>
      </w:pPr>
      <w:r>
        <w:t>D.7 What defensibility requires of an assessor</w:t>
      </w:r>
    </w:p>
    <w:p w14:paraId="4668A75F" w14:textId="77777777" w:rsidR="004A0394" w:rsidRDefault="00000000">
      <w:pPr>
        <w:pStyle w:val="BodyText"/>
      </w:pPr>
      <w:r>
        <w:t>The first of those strains, that reliability depends on the assessor pool, deserves a more exact treatment, because it is the point on which the credibility of the whole apparatus turns, and because it is the point most easily caricatured. The obvious objection to any threshold-assessment process is that the assessors simply tick yes: that “creative practice meets the five criteria” is established by a pool of sympathetic peers waving outputs through, and that the threshold is therefore a rubber stamp rather than a test. If that objection holds, the translation argument collapses, because the claim that creative practice already satisfies the standard research definition is only as good as the assessments that establish it. The defence against the objection is not a stricter rule about who may assess. It is a clear and modest standard for what an assessment must contain.</w:t>
      </w:r>
    </w:p>
    <w:p w14:paraId="37E9D163" w14:textId="77777777" w:rsidR="004A0394" w:rsidRDefault="00000000">
      <w:pPr>
        <w:pStyle w:val="BodyText"/>
      </w:pPr>
      <w:r>
        <w:t xml:space="preserve">The standard is reasoned, evidenced judgement. An assessment is defensible when, for each of the five criteria, the assessor can point to something in the record (the work itself, the statement of research content, the venue, the documentation) that grounds the judgement, and can say why that thing satisfies the criterion. This is the same standard a journal peer reviewer meets. A competent referee does not write “this is good”; they write “this contribution is novel because it establishes X, and the method is sound because Y.” The NTRO assessor is held to exactly that, and to nothing more exotic. </w:t>
      </w:r>
      <w:r>
        <w:lastRenderedPageBreak/>
        <w:t>The standard is achievable by any competent disciplinary peer in the time the task realistically receives, and it is the standard that distinguishes assessment from assent.</w:t>
      </w:r>
    </w:p>
    <w:p w14:paraId="20128FB2" w14:textId="4464FD5D" w:rsidR="004A0394" w:rsidRDefault="00000000">
      <w:pPr>
        <w:pStyle w:val="BodyText"/>
      </w:pPr>
      <w:r>
        <w:t xml:space="preserve">It </w:t>
      </w:r>
      <w:r w:rsidR="00D50C12">
        <w:t xml:space="preserve">helps to be </w:t>
      </w:r>
      <w:r>
        <w:t xml:space="preserve">equally clear about what the standard does </w:t>
      </w:r>
      <w:r>
        <w:rPr>
          <w:i/>
          <w:iCs/>
        </w:rPr>
        <w:t>not</w:t>
      </w:r>
      <w:r>
        <w:t xml:space="preserve"> require, because over-specifying the burden would make the process either impossible or dishonest. It does not require proof rather than reasoned judgement: the assessor is not refereeing a priority claim and need not demonstrate novelty incontestably, and the Frascati framework itself asks only that the criteria be met “at least in principle.” It does not require independent verification of the researcher's factual representations: an assessor cannot be expected to confirm that a shoot took two days or that a work is genuinely used in teaching, and assesses instead whether, as represented, the work meets the criteria. And it does not require research-equivalent labour: if defending a recommendation meant reconstructing the field and writing a critical essay, no assessor pool could sustain the load, and the assessments would not get done. The burden is a reason per criterion, not a treatise.</w:t>
      </w:r>
    </w:p>
    <w:p w14:paraId="031F5325" w14:textId="25588050" w:rsidR="004A0394" w:rsidRDefault="00000000">
      <w:pPr>
        <w:pStyle w:val="BodyText"/>
      </w:pPr>
      <w:r>
        <w:t>A fourth boundary is the most important for this paper, because it follows the two-stage architecture the whole argument rests on: a threshold judgement about whether the work is research at all, and a separate significance judgement about how much it carries. The assessor's defensibility burden falls firmly on the threshold judgement and rests more lightly, and more cautiously, on the significance judgement. Whether a work is novel, creative, uncertain, systematic and transferable is a judgement against a definition, and a clean reason can be given for each. Whether a work is internationally significant is a comparative judgement that requires a working knowledge of the field's tiers, and is far harder to defend with confidence. The defensibility expectation should therefore be firm on the threshold and explicitly more modest on significance: which is why a well-formed assessment can state the five threshold reasons plainly while hedging the significance reading as an estimate against the available evidence.</w:t>
      </w:r>
    </w:p>
    <w:p w14:paraId="63C55DC0" w14:textId="77777777" w:rsidR="004A0394" w:rsidRDefault="00000000">
      <w:pPr>
        <w:pStyle w:val="BodyText"/>
      </w:pPr>
      <w:r>
        <w:t>This yields a usable rule for the assessor pool, and it is deliberately a low bar to clear in form and a high one to clear in substance:</w:t>
      </w:r>
    </w:p>
    <w:p w14:paraId="25AA6825" w14:textId="77777777" w:rsidR="004A0394" w:rsidRDefault="00000000">
      <w:r>
        <w:t>An assessor should be able to give, for each of the five criteria, one sentence stating what in the record satisfies it and why: no more than that, but no less.</w:t>
      </w:r>
    </w:p>
    <w:p w14:paraId="156A124F" w14:textId="77777777" w:rsidR="004A0394" w:rsidRDefault="00000000">
      <w:pPr>
        <w:pStyle w:val="BodyText"/>
      </w:pPr>
      <w:r>
        <w:t xml:space="preserve">One sentence per criterion is five sentences. It is achievable in the time the task gets, even in marking season, and it is the difference between an assessment that survives a sceptical panel and one that does not. The contrast that makes the point is a real one from the </w:t>
      </w:r>
      <w:r>
        <w:rPr>
          <w:i/>
          <w:iCs/>
        </w:rPr>
        <w:t>Crowded River</w:t>
      </w:r>
      <w:r>
        <w:t xml:space="preserve"> assessment in Appendix E. That output received two co-assessments. One returned “Yes from me to all the questions”: assent, which clears the output but defends nothing. The other returned a reason for each criterion: novel because it tests two-day no-infrastructure production; creative because it develops the practitioner's genre line alongside an original thematic concern; uncertain because the outcome and reception were genuinely unsettled; systematic because the constraint set was the deliberate method; transferable because the method is already in use as a teaching case and a proof of concept. Both assessments admitted the same work. Only the second could withstand a challenge, and only the second does the argumentative work the translation position needs done. A panel seeking to discredit the NTRO process would go looking for the first kind of assessment and hold it up as proof that the threshold is a formality. The one-sentence-per-criterion rule is what ensures they find the second kind instead. Reasoned assessment is not bureaucratic over-reach layered </w:t>
      </w:r>
      <w:r>
        <w:lastRenderedPageBreak/>
        <w:t>onto the process; it is the load-bearing wall that keeps the deficit-framing objection and the rubber-stamp objection, which are the same objection seen from two sides, from bringing the structure down.</w:t>
      </w:r>
    </w:p>
    <w:p w14:paraId="214D2363" w14:textId="77777777" w:rsidR="004A0394" w:rsidRDefault="00000000">
      <w:pPr>
        <w:pStyle w:val="Heading2"/>
      </w:pPr>
      <w:r>
        <w:t>D.8 The under-evidenced case: what the rule surfaces</w:t>
      </w:r>
    </w:p>
    <w:p w14:paraId="275359C5" w14:textId="36983F51" w:rsidR="004A0394" w:rsidRDefault="00000000">
      <w:pPr>
        <w:pStyle w:val="BodyText"/>
      </w:pPr>
      <w:r>
        <w:t>Appendix E works through an output that meets the threshold cleanly</w:t>
      </w:r>
      <w:r w:rsidR="006031EF">
        <w:t>, yet I have set it</w:t>
      </w:r>
      <w:r>
        <w:t xml:space="preserve"> beside it the case the one-sentence-per-criterion rule exists to catch: the submission where the work may well be research, but the documentation does not yet let an assessor say so defensibly. This is not a failure of the work; it is a failure of the record, and the distinction is the whole point of the rule.</w:t>
      </w:r>
    </w:p>
    <w:p w14:paraId="6875FEEE" w14:textId="4BBF16B7" w:rsidR="00E13004" w:rsidRDefault="00000000">
      <w:pPr>
        <w:pStyle w:val="BodyText"/>
      </w:pPr>
      <w:r>
        <w:rPr>
          <w:i/>
          <w:iCs/>
        </w:rPr>
        <w:t>Work-Life</w:t>
      </w:r>
      <w:r>
        <w:t xml:space="preserve"> (Bailey, 2025) is a single visual artwork (a digital print pasted to the wall, 1750×1100mm, classified CW1 original visual artwork) shown in </w:t>
      </w:r>
      <w:r>
        <w:rPr>
          <w:i/>
          <w:iCs/>
        </w:rPr>
        <w:t>Piledriver</w:t>
      </w:r>
      <w:r>
        <w:t xml:space="preserve">, a six-artist group exhibition at Tiles Lewisham, an artist-run initiative, across April and May 2025. The work fuses the graphic identity of professional-wrestling subculture with commentary on contemporary labour, an extension of the artist's longstanding interest in posters and “low” cultural forms. Assessed against the five HERDC criteria, it clears two of them on the record and leaves three unestablished. </w:t>
      </w:r>
      <w:r>
        <w:rPr>
          <w:b/>
          <w:bCs/>
        </w:rPr>
        <w:t>Creative</w:t>
      </w:r>
      <w:r>
        <w:t xml:space="preserve"> is met plainly: the conceptual fusion is original and non-obvious. </w:t>
      </w:r>
      <w:r>
        <w:rPr>
          <w:b/>
          <w:bCs/>
        </w:rPr>
        <w:t>Novel</w:t>
      </w:r>
      <w:r>
        <w:t xml:space="preserve"> is met at the modest level the statement claims: a new facet of an existing practice rather than a new finding. But on </w:t>
      </w:r>
      <w:r>
        <w:rPr>
          <w:b/>
          <w:bCs/>
        </w:rPr>
        <w:t>uncertain</w:t>
      </w:r>
      <w:r>
        <w:t xml:space="preserve">, </w:t>
      </w:r>
      <w:r>
        <w:rPr>
          <w:b/>
          <w:bCs/>
        </w:rPr>
        <w:t>systematic</w:t>
      </w:r>
      <w:r>
        <w:t xml:space="preserve"> and </w:t>
      </w:r>
      <w:r>
        <w:rPr>
          <w:b/>
          <w:bCs/>
        </w:rPr>
        <w:t>transferable/reproducible</w:t>
      </w:r>
      <w:r>
        <w:t xml:space="preserve">, the statement of research content does not supply what a defensible determination requires. The responses describe motivation and theme (the opportunity the exhibition presented, the appeal of the subculture's visual language) rather than research process. There is no account of a planned or staged method to ground </w:t>
      </w:r>
      <w:r>
        <w:rPr>
          <w:b/>
          <w:bCs/>
        </w:rPr>
        <w:t>systematic</w:t>
      </w:r>
      <w:r>
        <w:t xml:space="preserve">, nothing about what was unresolved at the outset to ground </w:t>
      </w:r>
      <w:r>
        <w:rPr>
          <w:b/>
          <w:bCs/>
        </w:rPr>
        <w:t>uncertain</w:t>
      </w:r>
      <w:r>
        <w:t xml:space="preserve">, and no teaching use, iteration or portable finding to ground </w:t>
      </w:r>
      <w:r>
        <w:rPr>
          <w:b/>
          <w:bCs/>
        </w:rPr>
        <w:t>transferable</w:t>
      </w:r>
      <w:r>
        <w:t>.</w:t>
      </w:r>
    </w:p>
    <w:p w14:paraId="2C1368EA" w14:textId="0D773A1D" w:rsidR="00E13004" w:rsidRPr="009F4512" w:rsidRDefault="00E13004" w:rsidP="009F4512">
      <w:pPr>
        <w:pStyle w:val="BodyText"/>
      </w:pPr>
      <w:r>
        <w:t>For example:</w:t>
      </w:r>
    </w:p>
    <w:tbl>
      <w:tblPr>
        <w:tblW w:w="9360" w:type="dxa"/>
        <w:tblCellMar>
          <w:left w:w="0" w:type="dxa"/>
          <w:right w:w="0" w:type="dxa"/>
        </w:tblCellMar>
        <w:tblLook w:val="04A0" w:firstRow="1" w:lastRow="0" w:firstColumn="1" w:lastColumn="0" w:noHBand="0" w:noVBand="1"/>
      </w:tblPr>
      <w:tblGrid>
        <w:gridCol w:w="1850"/>
        <w:gridCol w:w="1500"/>
        <w:gridCol w:w="6010"/>
      </w:tblGrid>
      <w:tr w:rsidR="00E13004" w:rsidRPr="00E13004" w14:paraId="5F344AFB" w14:textId="77777777">
        <w:tc>
          <w:tcPr>
            <w:tcW w:w="1850" w:type="dxa"/>
            <w:tcBorders>
              <w:top w:val="single" w:sz="8" w:space="0" w:color="BBBBBB"/>
              <w:left w:val="single" w:sz="8" w:space="0" w:color="BBBBBB"/>
              <w:bottom w:val="single" w:sz="8" w:space="0" w:color="BBBBBB"/>
              <w:right w:val="single" w:sz="8" w:space="0" w:color="BBBBBB"/>
            </w:tcBorders>
            <w:shd w:val="clear" w:color="auto" w:fill="1A5C2A"/>
            <w:tcMar>
              <w:top w:w="80" w:type="dxa"/>
              <w:left w:w="120" w:type="dxa"/>
              <w:bottom w:w="80" w:type="dxa"/>
              <w:right w:w="120" w:type="dxa"/>
            </w:tcMar>
            <w:vAlign w:val="center"/>
            <w:hideMark/>
          </w:tcPr>
          <w:p w14:paraId="7FACA488"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FFFFFF"/>
                <w:sz w:val="20"/>
                <w:szCs w:val="20"/>
                <w:lang w:val="en-AU" w:eastAsia="en-GB"/>
              </w:rPr>
              <w:t>HERDC criterion</w:t>
            </w:r>
          </w:p>
        </w:tc>
        <w:tc>
          <w:tcPr>
            <w:tcW w:w="1500" w:type="dxa"/>
            <w:tcBorders>
              <w:top w:val="single" w:sz="8" w:space="0" w:color="auto"/>
              <w:left w:val="nil"/>
              <w:bottom w:val="single" w:sz="8" w:space="0" w:color="auto"/>
              <w:right w:val="single" w:sz="8" w:space="0" w:color="auto"/>
            </w:tcBorders>
            <w:shd w:val="clear" w:color="auto" w:fill="1A5C2A"/>
            <w:tcMar>
              <w:top w:w="80" w:type="dxa"/>
              <w:left w:w="120" w:type="dxa"/>
              <w:bottom w:w="80" w:type="dxa"/>
              <w:right w:w="120" w:type="dxa"/>
            </w:tcMar>
            <w:vAlign w:val="center"/>
            <w:hideMark/>
          </w:tcPr>
          <w:p w14:paraId="1D30F935"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FFFFFF"/>
                <w:sz w:val="20"/>
                <w:szCs w:val="20"/>
                <w:lang w:val="en-AU" w:eastAsia="en-GB"/>
              </w:rPr>
              <w:t>Defensible?</w:t>
            </w:r>
          </w:p>
        </w:tc>
        <w:tc>
          <w:tcPr>
            <w:tcW w:w="6010" w:type="dxa"/>
            <w:tcBorders>
              <w:top w:val="single" w:sz="8" w:space="0" w:color="auto"/>
              <w:left w:val="nil"/>
              <w:bottom w:val="single" w:sz="8" w:space="0" w:color="auto"/>
              <w:right w:val="single" w:sz="8" w:space="0" w:color="auto"/>
            </w:tcBorders>
            <w:shd w:val="clear" w:color="auto" w:fill="1A5C2A"/>
            <w:tcMar>
              <w:top w:w="80" w:type="dxa"/>
              <w:left w:w="120" w:type="dxa"/>
              <w:bottom w:w="80" w:type="dxa"/>
              <w:right w:w="120" w:type="dxa"/>
            </w:tcMar>
            <w:vAlign w:val="center"/>
            <w:hideMark/>
          </w:tcPr>
          <w:p w14:paraId="7AD52D35"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FFFFFF"/>
                <w:sz w:val="20"/>
                <w:szCs w:val="20"/>
                <w:lang w:val="en-AU" w:eastAsia="en-GB"/>
              </w:rPr>
              <w:t>One-sentence justification (on the evidence)</w:t>
            </w:r>
          </w:p>
        </w:tc>
      </w:tr>
      <w:tr w:rsidR="00E13004" w:rsidRPr="00E13004" w14:paraId="13800ECE" w14:textId="77777777">
        <w:tc>
          <w:tcPr>
            <w:tcW w:w="1850" w:type="dxa"/>
            <w:tcBorders>
              <w:top w:val="nil"/>
              <w:left w:val="single" w:sz="8" w:space="0" w:color="auto"/>
              <w:bottom w:val="single" w:sz="8" w:space="0" w:color="auto"/>
              <w:right w:val="single" w:sz="8" w:space="0" w:color="auto"/>
            </w:tcBorders>
            <w:tcMar>
              <w:top w:w="80" w:type="dxa"/>
              <w:left w:w="120" w:type="dxa"/>
              <w:bottom w:w="80" w:type="dxa"/>
              <w:right w:w="120" w:type="dxa"/>
            </w:tcMar>
            <w:vAlign w:val="center"/>
            <w:hideMark/>
          </w:tcPr>
          <w:p w14:paraId="742D5B45"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000000"/>
                <w:sz w:val="20"/>
                <w:szCs w:val="20"/>
                <w:lang w:val="en-AU" w:eastAsia="en-GB"/>
              </w:rPr>
              <w:t>Novel</w:t>
            </w:r>
          </w:p>
        </w:tc>
        <w:tc>
          <w:tcPr>
            <w:tcW w:w="150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0B1348FA"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1A5C2A"/>
                <w:sz w:val="20"/>
                <w:szCs w:val="20"/>
                <w:lang w:val="en-AU" w:eastAsia="en-GB"/>
              </w:rPr>
              <w:t>yes</w:t>
            </w:r>
          </w:p>
        </w:tc>
        <w:tc>
          <w:tcPr>
            <w:tcW w:w="601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7DE3494D"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000000"/>
                <w:sz w:val="20"/>
                <w:szCs w:val="20"/>
                <w:lang w:val="en-AU" w:eastAsia="en-GB"/>
              </w:rPr>
              <w:t>The work brings the graphic identity of professional-wrestling subculture into dialogue with commentary on contemporary labour, framed in the statement as a new facet of the artist's longstanding poster practice: </w:t>
            </w:r>
            <w:r w:rsidRPr="00E13004">
              <w:rPr>
                <w:rFonts w:ascii="Calibri" w:eastAsia="Times New Roman" w:hAnsi="Calibri" w:cs="Calibri"/>
                <w:i/>
                <w:iCs/>
                <w:color w:val="000000"/>
                <w:sz w:val="20"/>
                <w:szCs w:val="20"/>
                <w:lang w:val="en-AU" w:eastAsia="en-GB"/>
              </w:rPr>
              <w:t>novelty</w:t>
            </w:r>
            <w:r w:rsidRPr="00E13004">
              <w:rPr>
                <w:rFonts w:ascii="Calibri" w:eastAsia="Times New Roman" w:hAnsi="Calibri" w:cs="Calibri"/>
                <w:color w:val="000000"/>
                <w:sz w:val="20"/>
                <w:szCs w:val="20"/>
                <w:lang w:val="en-AU" w:eastAsia="en-GB"/>
              </w:rPr>
              <w:t> claimed as an extension of an existing line rather than a new finding.</w:t>
            </w:r>
          </w:p>
        </w:tc>
      </w:tr>
      <w:tr w:rsidR="00E13004" w:rsidRPr="00E13004" w14:paraId="24F79898" w14:textId="77777777">
        <w:tc>
          <w:tcPr>
            <w:tcW w:w="1850" w:type="dxa"/>
            <w:tcBorders>
              <w:top w:val="nil"/>
              <w:left w:val="single" w:sz="8" w:space="0" w:color="auto"/>
              <w:bottom w:val="single" w:sz="8" w:space="0" w:color="auto"/>
              <w:right w:val="single" w:sz="8" w:space="0" w:color="auto"/>
            </w:tcBorders>
            <w:tcMar>
              <w:top w:w="80" w:type="dxa"/>
              <w:left w:w="120" w:type="dxa"/>
              <w:bottom w:w="80" w:type="dxa"/>
              <w:right w:w="120" w:type="dxa"/>
            </w:tcMar>
            <w:vAlign w:val="center"/>
            <w:hideMark/>
          </w:tcPr>
          <w:p w14:paraId="32C4A3AB"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000000"/>
                <w:sz w:val="20"/>
                <w:szCs w:val="20"/>
                <w:lang w:val="en-AU" w:eastAsia="en-GB"/>
              </w:rPr>
              <w:t>Creative</w:t>
            </w:r>
          </w:p>
        </w:tc>
        <w:tc>
          <w:tcPr>
            <w:tcW w:w="150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3CC79EC1"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1A5C2A"/>
                <w:sz w:val="20"/>
                <w:szCs w:val="20"/>
                <w:lang w:val="en-AU" w:eastAsia="en-GB"/>
              </w:rPr>
              <w:t>Yes</w:t>
            </w:r>
          </w:p>
        </w:tc>
        <w:tc>
          <w:tcPr>
            <w:tcW w:w="601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51221E77"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000000"/>
                <w:sz w:val="20"/>
                <w:szCs w:val="20"/>
                <w:lang w:val="en-AU" w:eastAsia="en-GB"/>
              </w:rPr>
              <w:t>The work is based on original, non-obvious concepts: the move of fusing “low” wrestling-poster aesthetics with a critique of labour conditions is an original framing carried through the image.</w:t>
            </w:r>
          </w:p>
        </w:tc>
      </w:tr>
      <w:tr w:rsidR="00E13004" w:rsidRPr="00E13004" w14:paraId="7E36CACF" w14:textId="77777777">
        <w:tc>
          <w:tcPr>
            <w:tcW w:w="1850" w:type="dxa"/>
            <w:tcBorders>
              <w:top w:val="nil"/>
              <w:left w:val="single" w:sz="8" w:space="0" w:color="auto"/>
              <w:bottom w:val="single" w:sz="8" w:space="0" w:color="auto"/>
              <w:right w:val="single" w:sz="8" w:space="0" w:color="auto"/>
            </w:tcBorders>
            <w:tcMar>
              <w:top w:w="80" w:type="dxa"/>
              <w:left w:w="120" w:type="dxa"/>
              <w:bottom w:w="80" w:type="dxa"/>
              <w:right w:w="120" w:type="dxa"/>
            </w:tcMar>
            <w:vAlign w:val="center"/>
            <w:hideMark/>
          </w:tcPr>
          <w:p w14:paraId="49A5BF22"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000000"/>
                <w:sz w:val="20"/>
                <w:szCs w:val="20"/>
                <w:lang w:val="en-AU" w:eastAsia="en-GB"/>
              </w:rPr>
              <w:t>Uncertain</w:t>
            </w:r>
          </w:p>
        </w:tc>
        <w:tc>
          <w:tcPr>
            <w:tcW w:w="150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76A252DD"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B45309"/>
                <w:sz w:val="20"/>
                <w:szCs w:val="20"/>
                <w:lang w:val="en-AU" w:eastAsia="en-GB"/>
              </w:rPr>
              <w:t>Under-evidenced</w:t>
            </w:r>
          </w:p>
        </w:tc>
        <w:tc>
          <w:tcPr>
            <w:tcW w:w="601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4C51EE7B"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i/>
                <w:iCs/>
                <w:color w:val="000000"/>
                <w:sz w:val="20"/>
                <w:szCs w:val="20"/>
                <w:lang w:val="en-AU" w:eastAsia="en-GB"/>
              </w:rPr>
              <w:t>Uncertainty</w:t>
            </w:r>
            <w:r w:rsidRPr="00E13004">
              <w:rPr>
                <w:rFonts w:ascii="Calibri" w:eastAsia="Times New Roman" w:hAnsi="Calibri" w:cs="Calibri"/>
                <w:color w:val="000000"/>
                <w:sz w:val="20"/>
                <w:szCs w:val="20"/>
                <w:lang w:val="en-AU" w:eastAsia="en-GB"/>
              </w:rPr>
              <w:t> is not articulated in either sense - neither studio-process nor reception uncertainty is described; the reception gloss could be applied, but the statement supplies nothing specific to ground it.</w:t>
            </w:r>
          </w:p>
        </w:tc>
      </w:tr>
      <w:tr w:rsidR="00E13004" w:rsidRPr="00E13004" w14:paraId="1477BC9D" w14:textId="77777777">
        <w:tc>
          <w:tcPr>
            <w:tcW w:w="1850" w:type="dxa"/>
            <w:tcBorders>
              <w:top w:val="nil"/>
              <w:left w:val="single" w:sz="8" w:space="0" w:color="auto"/>
              <w:bottom w:val="single" w:sz="8" w:space="0" w:color="auto"/>
              <w:right w:val="single" w:sz="8" w:space="0" w:color="auto"/>
            </w:tcBorders>
            <w:tcMar>
              <w:top w:w="80" w:type="dxa"/>
              <w:left w:w="120" w:type="dxa"/>
              <w:bottom w:w="80" w:type="dxa"/>
              <w:right w:w="120" w:type="dxa"/>
            </w:tcMar>
            <w:vAlign w:val="center"/>
            <w:hideMark/>
          </w:tcPr>
          <w:p w14:paraId="170F5725"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000000"/>
                <w:sz w:val="20"/>
                <w:szCs w:val="20"/>
                <w:lang w:val="en-AU" w:eastAsia="en-GB"/>
              </w:rPr>
              <w:t>Systematic</w:t>
            </w:r>
          </w:p>
        </w:tc>
        <w:tc>
          <w:tcPr>
            <w:tcW w:w="150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428EE827"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B45309"/>
                <w:sz w:val="20"/>
                <w:szCs w:val="20"/>
                <w:lang w:val="en-AU" w:eastAsia="en-GB"/>
              </w:rPr>
              <w:t>Under-evidenced</w:t>
            </w:r>
          </w:p>
        </w:tc>
        <w:tc>
          <w:tcPr>
            <w:tcW w:w="601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7F6D0578"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000000"/>
                <w:sz w:val="20"/>
                <w:szCs w:val="20"/>
                <w:lang w:val="en-AU" w:eastAsia="en-GB"/>
              </w:rPr>
              <w:t>The statement says only that the work was produced as part of studio practice in response to the exhibition invitation; no planned, budgeted or staged method is described, so the criterion is asserted rather than demonstrated.</w:t>
            </w:r>
          </w:p>
        </w:tc>
      </w:tr>
      <w:tr w:rsidR="00E13004" w:rsidRPr="00E13004" w14:paraId="149F2DBF" w14:textId="77777777">
        <w:tc>
          <w:tcPr>
            <w:tcW w:w="1850" w:type="dxa"/>
            <w:tcBorders>
              <w:top w:val="nil"/>
              <w:left w:val="single" w:sz="8" w:space="0" w:color="auto"/>
              <w:bottom w:val="single" w:sz="8" w:space="0" w:color="auto"/>
              <w:right w:val="single" w:sz="8" w:space="0" w:color="auto"/>
            </w:tcBorders>
            <w:tcMar>
              <w:top w:w="80" w:type="dxa"/>
              <w:left w:w="120" w:type="dxa"/>
              <w:bottom w:w="80" w:type="dxa"/>
              <w:right w:w="120" w:type="dxa"/>
            </w:tcMar>
            <w:vAlign w:val="center"/>
            <w:hideMark/>
          </w:tcPr>
          <w:p w14:paraId="508B9BCA"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b/>
                <w:bCs/>
                <w:color w:val="000000"/>
                <w:sz w:val="20"/>
                <w:szCs w:val="20"/>
                <w:lang w:val="en-AU" w:eastAsia="en-GB"/>
              </w:rPr>
              <w:t>Transferable / reproducible</w:t>
            </w:r>
          </w:p>
        </w:tc>
        <w:tc>
          <w:tcPr>
            <w:tcW w:w="150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16E47C89"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B45309"/>
                <w:sz w:val="20"/>
                <w:szCs w:val="20"/>
                <w:lang w:val="en-AU" w:eastAsia="en-GB"/>
              </w:rPr>
              <w:t>Under-evidenced</w:t>
            </w:r>
          </w:p>
        </w:tc>
        <w:tc>
          <w:tcPr>
            <w:tcW w:w="6010" w:type="dxa"/>
            <w:tcBorders>
              <w:top w:val="nil"/>
              <w:left w:val="nil"/>
              <w:bottom w:val="single" w:sz="8" w:space="0" w:color="auto"/>
              <w:right w:val="single" w:sz="8" w:space="0" w:color="auto"/>
            </w:tcBorders>
            <w:tcMar>
              <w:top w:w="80" w:type="dxa"/>
              <w:left w:w="120" w:type="dxa"/>
              <w:bottom w:w="80" w:type="dxa"/>
              <w:right w:w="120" w:type="dxa"/>
            </w:tcMar>
            <w:vAlign w:val="center"/>
            <w:hideMark/>
          </w:tcPr>
          <w:p w14:paraId="568A59AD" w14:textId="77777777" w:rsidR="00E13004" w:rsidRPr="00E13004" w:rsidRDefault="00E13004" w:rsidP="00E13004">
            <w:pPr>
              <w:spacing w:after="0"/>
              <w:rPr>
                <w:rFonts w:ascii="Calibri" w:eastAsia="Times New Roman" w:hAnsi="Calibri" w:cs="Calibri"/>
                <w:color w:val="000000"/>
                <w:sz w:val="22"/>
                <w:szCs w:val="22"/>
                <w:lang w:val="en-AU" w:eastAsia="en-GB"/>
              </w:rPr>
            </w:pPr>
            <w:r w:rsidRPr="00E13004">
              <w:rPr>
                <w:rFonts w:ascii="Calibri" w:eastAsia="Times New Roman" w:hAnsi="Calibri" w:cs="Calibri"/>
                <w:color w:val="000000"/>
                <w:sz w:val="20"/>
                <w:szCs w:val="20"/>
                <w:lang w:val="en-AU" w:eastAsia="en-GB"/>
              </w:rPr>
              <w:t>No transferability is named (no teaching use, iteration, or portable method or finding) so the record gives an assessor nothing specific to point to.</w:t>
            </w:r>
          </w:p>
        </w:tc>
      </w:tr>
    </w:tbl>
    <w:p w14:paraId="0F0C61A5" w14:textId="77777777" w:rsidR="004A0394" w:rsidRDefault="00000000">
      <w:pPr>
        <w:pStyle w:val="BodyText"/>
      </w:pPr>
      <w:r>
        <w:lastRenderedPageBreak/>
        <w:t xml:space="preserve">Applying the rule, an assessor can write a grounded sentence for two criteria and cannot, in honesty, write one for the other three. The correct response is not a determination of fail. The work may satisfy all five criteria in fact; an artwork of this kind plausibly does. The correct response is to return the submission to the researcher for a fuller statement of research content addressing the three unestablished criteria, after which the assessment can be completed. This is the rule doing exactly the work it is designed for: not gatekeeping the work out, but refusing to record a threshold judgement that could not survive challenge, and converting a reflexive “yes” into a specific, actionable “not yet: here is what is missing.” An assessment process without the rule would have waved </w:t>
      </w:r>
      <w:r>
        <w:rPr>
          <w:i/>
          <w:iCs/>
        </w:rPr>
        <w:t>Work-Life</w:t>
      </w:r>
      <w:r>
        <w:t xml:space="preserve"> through on the strength of its evident creativity; the process with the rule catches that three-fifths of the threshold case has not yet been made, and protects both the researcher and the institution from a determination built on assertion.</w:t>
      </w:r>
    </w:p>
    <w:p w14:paraId="690AAA57" w14:textId="77777777" w:rsidR="004A0394" w:rsidRDefault="00000000">
      <w:pPr>
        <w:pStyle w:val="BodyText"/>
      </w:pPr>
      <w:r>
        <w:t xml:space="preserve">The significance question compounds the point. The proforma nominates “National” significance for both the venue context and the cultural significance of the output. Nothing in the record supports that nomination: an ARI group show documented through an Instagram page, an invitation and a roomsheet, with no reviews, no catalogue essay, no media coverage, no acquisition and no audience-reach evidence, is a local or emerging output by any honest reading. The artist-run initiative is the canonical entry tier of the venue stratification: genuine peer selection, but the lightest form of it. As with </w:t>
      </w:r>
      <w:r>
        <w:rPr>
          <w:i/>
          <w:iCs/>
        </w:rPr>
        <w:t>Crowded River</w:t>
      </w:r>
      <w:r>
        <w:t>'s claim to international standing, the significance nomination over-reaches the evidence, and an assessor applying the two-stage logic would record the output, once its threshold case is completed, as locally or emergingly significant rather than national.</w:t>
      </w:r>
    </w:p>
    <w:p w14:paraId="5935BCAC" w14:textId="77777777" w:rsidR="004A0394" w:rsidRDefault="00000000">
      <w:pPr>
        <w:pStyle w:val="BodyText"/>
      </w:pPr>
      <w:r>
        <w:t xml:space="preserve">Taken together, the three cases map the range the apparatus must handle. Brundibár is the strong, well-evidenced output. </w:t>
      </w:r>
      <w:r>
        <w:rPr>
          <w:i/>
          <w:iCs/>
        </w:rPr>
        <w:t>Crowded River</w:t>
      </w:r>
      <w:r>
        <w:t xml:space="preserve"> is the modest output, honestly assessed: it clears the threshold on a complete record and reads as minor in significance. </w:t>
      </w:r>
      <w:r>
        <w:rPr>
          <w:i/>
          <w:iCs/>
        </w:rPr>
        <w:t>Work-Life</w:t>
      </w:r>
      <w:r>
        <w:t xml:space="preserve"> is the under-evidenced output: plausibly research, but not yet defensibly so on the documentation submitted, and over-claimed in significance. The first shows the apparatus admitting strength, the second shows it admitting modesty without inflation, and the third shows it declining to certify what has not been demonstrated. A process that can do all three, and can say clearly which case it is looking at, is a process that reads its outputs accurately. That, and not a uniformly generous “yes,” is what makes the translation position credible to a sceptic.</w:t>
      </w:r>
    </w:p>
    <w:p w14:paraId="7D93EFFE" w14:textId="77777777" w:rsidR="004A0394" w:rsidRDefault="00000000">
      <w:pPr>
        <w:pStyle w:val="Heading1"/>
      </w:pPr>
      <w:bookmarkStart w:id="12" w:name="appendix-e"/>
      <w:bookmarkEnd w:id="11"/>
      <w:r>
        <w:t>Appendix E: A modest case, assessed honestly: Crowded River</w:t>
      </w:r>
    </w:p>
    <w:p w14:paraId="2F6AD77D" w14:textId="77777777" w:rsidR="004A0394" w:rsidRDefault="00000000">
      <w:pPr>
        <w:pStyle w:val="FirstParagraph"/>
      </w:pPr>
      <w:r>
        <w:t>Appendix D describes the SCA assessment process in general terms. This appendix runs a single output through it, and chooses a deliberately modest one. The Brundibár case in Section 4 shows the machinery operating on a strong output; the more persuasive demonstration of a working apparatus is not that it admits the obvious successes but that it reads the borderline outputs accurately: distinguishing what meets the threshold for research from what carries significant scholarly weight, and keeping the two judgements apart.</w:t>
      </w:r>
    </w:p>
    <w:p w14:paraId="30D9A5C3" w14:textId="77777777" w:rsidR="004A0394" w:rsidRDefault="00000000">
      <w:pPr>
        <w:pStyle w:val="BodyText"/>
      </w:pPr>
      <w:r>
        <w:rPr>
          <w:i/>
          <w:iCs/>
        </w:rPr>
        <w:t>Crowded River</w:t>
      </w:r>
      <w:r>
        <w:t xml:space="preserve"> (Sully and Sharam, 2026) is an eight-minute genre short film, written, shot, co-produced and edited by Andrew Sully of Sydney College of the Arts over two </w:t>
      </w:r>
      <w:r>
        <w:lastRenderedPageBreak/>
        <w:t>days in upstate New York during a winter storm, made deliberately without the conventional infrastructure of film production. It was submitted to the FASS NTRO assessment process as a CW3 recorded/rendered work and assessed in the standard way: allocated by the FASS Research Office, documented in Lab Archives, and sent to an assessor drawn from the field who returned a recommendation against the five HERDC criteria for research and development activity. The assessment cleared: the output was found to meet the definition of research.</w:t>
      </w:r>
    </w:p>
    <w:p w14:paraId="28B8EB07" w14:textId="77777777" w:rsidR="004A0394" w:rsidRDefault="00000000">
      <w:pPr>
        <w:pStyle w:val="BodyText"/>
      </w:pPr>
      <w:r>
        <w:t xml:space="preserve">The case is instructive precisely because it is modest. The film was programmed into the Nyack International Film Festival, a small regional festival in New York State, and selected by a second online genre festival. Neither is a recognised tier-one or tier-two festival; neither selection carries the standing of a major international festival, a significant genre festival, or critical engagement of national or international reach. The translation argument is sometimes misheard as a claim that any creative output, once described in scholarly terms, becomes significant research. It is not that claim. The translation argument is that creative practice outputs should be read through the same two-stage logic the institution applies to textual research (a threshold judgement about whether the work is research at all, and a separate quality judgement about how significant it is) and that the second judgement should be made honestly, against the standing of the venues and the reach of the work, exactly as it is for a journal article. A paper in a minor journal is still peer-reviewed research; it does not carry the weight of a paper in a flagship journal. </w:t>
      </w:r>
      <w:r>
        <w:rPr>
          <w:i/>
          <w:iCs/>
        </w:rPr>
        <w:t>Crowded River</w:t>
      </w:r>
      <w:r>
        <w:t xml:space="preserve"> is the creative-practice equivalent: a genuine research output of modest significance.</w:t>
      </w:r>
    </w:p>
    <w:p w14:paraId="591D466E" w14:textId="77777777" w:rsidR="004A0394" w:rsidRDefault="00000000">
      <w:pPr>
        <w:pStyle w:val="Heading2"/>
      </w:pPr>
      <w:r>
        <w:t>E.1 Stage one: the threshold judgement, does it meet the definition of research?</w:t>
      </w:r>
    </w:p>
    <w:p w14:paraId="5323D076" w14:textId="77777777" w:rsidR="004A0394" w:rsidRDefault="00000000">
      <w:pPr>
        <w:pStyle w:val="BodyText"/>
      </w:pPr>
      <w:r>
        <w:t>Assessed against the five HERDC criteria, the film meets each. This is the judgement the FASS assessment process actually tested, and it cleared. The five criteria are the OECD Frascati / HERDC research definition applied sector-wide, not a creative-arts instrument (see Appendix D); the justifications below are drawn from the researcher's own statement of research content, not supplied externally.</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29"/>
        <w:gridCol w:w="2387"/>
        <w:gridCol w:w="4794"/>
      </w:tblGrid>
      <w:tr w:rsidR="004A0394" w14:paraId="5C9CD16C" w14:textId="77777777" w:rsidTr="00CE5D3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20012B4A" w14:textId="77777777" w:rsidR="004A0394" w:rsidRDefault="00000000">
            <w:pPr>
              <w:pStyle w:val="Compact"/>
            </w:pPr>
            <w:r>
              <w:rPr>
                <w:b/>
                <w:bCs/>
              </w:rPr>
              <w:t>HERDC criterion</w:t>
            </w:r>
          </w:p>
        </w:tc>
        <w:tc>
          <w:tcPr>
            <w:tcW w:w="0" w:type="auto"/>
            <w:tcBorders>
              <w:bottom w:val="none" w:sz="0" w:space="0" w:color="auto"/>
            </w:tcBorders>
          </w:tcPr>
          <w:p w14:paraId="67E6895A" w14:textId="77777777" w:rsidR="004A0394" w:rsidRDefault="00000000">
            <w:pPr>
              <w:pStyle w:val="Compact"/>
            </w:pPr>
            <w:r>
              <w:rPr>
                <w:b/>
                <w:bCs/>
              </w:rPr>
              <w:t>What the criterion asks</w:t>
            </w:r>
          </w:p>
        </w:tc>
        <w:tc>
          <w:tcPr>
            <w:tcW w:w="0" w:type="auto"/>
            <w:tcBorders>
              <w:bottom w:val="none" w:sz="0" w:space="0" w:color="auto"/>
            </w:tcBorders>
          </w:tcPr>
          <w:p w14:paraId="123028E0" w14:textId="77777777" w:rsidR="004A0394" w:rsidRDefault="00000000">
            <w:pPr>
              <w:pStyle w:val="Compact"/>
            </w:pPr>
            <w:r>
              <w:rPr>
                <w:b/>
                <w:bCs/>
              </w:rPr>
              <w:t>How Crowded River meets it</w:t>
            </w:r>
          </w:p>
        </w:tc>
      </w:tr>
      <w:tr w:rsidR="004A0394" w14:paraId="5F56942E" w14:textId="77777777" w:rsidTr="00CE5D31">
        <w:tc>
          <w:tcPr>
            <w:tcW w:w="0" w:type="auto"/>
          </w:tcPr>
          <w:p w14:paraId="071AF0FB" w14:textId="77777777" w:rsidR="004A0394" w:rsidRDefault="00000000">
            <w:pPr>
              <w:pStyle w:val="Compact"/>
            </w:pPr>
            <w:r>
              <w:rPr>
                <w:b/>
                <w:bCs/>
              </w:rPr>
              <w:t>Novel</w:t>
            </w:r>
          </w:p>
        </w:tc>
        <w:tc>
          <w:tcPr>
            <w:tcW w:w="0" w:type="auto"/>
          </w:tcPr>
          <w:p w14:paraId="2F9B915F" w14:textId="77777777" w:rsidR="004A0394" w:rsidRDefault="00000000">
            <w:pPr>
              <w:pStyle w:val="Compact"/>
            </w:pPr>
            <w:r>
              <w:t>Aimed at new findings.</w:t>
            </w:r>
          </w:p>
        </w:tc>
        <w:tc>
          <w:tcPr>
            <w:tcW w:w="0" w:type="auto"/>
          </w:tcPr>
          <w:p w14:paraId="7E24A839" w14:textId="77777777" w:rsidR="004A0394" w:rsidRDefault="00000000">
            <w:pPr>
              <w:pStyle w:val="Compact"/>
            </w:pPr>
            <w:r>
              <w:t>Tests whether a fully-realised genre short can be produced in two days without conventional production infrastructure: a deliberate experiment in fast-turnaround, minimal-means filmmaking, with the snowbound location and storm as generative constraints rather than obstacles.</w:t>
            </w:r>
          </w:p>
        </w:tc>
      </w:tr>
      <w:tr w:rsidR="004A0394" w14:paraId="656C4B31" w14:textId="77777777" w:rsidTr="00CE5D31">
        <w:tc>
          <w:tcPr>
            <w:tcW w:w="0" w:type="auto"/>
          </w:tcPr>
          <w:p w14:paraId="177FA41F" w14:textId="77777777" w:rsidR="004A0394" w:rsidRDefault="00000000">
            <w:pPr>
              <w:pStyle w:val="Compact"/>
            </w:pPr>
            <w:r>
              <w:rPr>
                <w:b/>
                <w:bCs/>
              </w:rPr>
              <w:t>Creative</w:t>
            </w:r>
          </w:p>
        </w:tc>
        <w:tc>
          <w:tcPr>
            <w:tcW w:w="0" w:type="auto"/>
          </w:tcPr>
          <w:p w14:paraId="16C7F2F6" w14:textId="77777777" w:rsidR="004A0394" w:rsidRDefault="00000000">
            <w:pPr>
              <w:pStyle w:val="Compact"/>
            </w:pPr>
            <w:r>
              <w:t>Based on original, non-obvious concepts and hypotheses.</w:t>
            </w:r>
          </w:p>
        </w:tc>
        <w:tc>
          <w:tcPr>
            <w:tcW w:w="0" w:type="auto"/>
          </w:tcPr>
          <w:p w14:paraId="0FC0759A" w14:textId="77777777" w:rsidR="004A0394" w:rsidRDefault="00000000">
            <w:pPr>
              <w:pStyle w:val="Compact"/>
            </w:pPr>
            <w:r>
              <w:t>Develops thriller and horror genre tropes the filmmaker has been working through across his practice, paired with an original thematic concern (the silencing of women's voices and the perils of trust) carried through form rather than exposition.</w:t>
            </w:r>
          </w:p>
        </w:tc>
      </w:tr>
      <w:tr w:rsidR="004A0394" w14:paraId="579E0399" w14:textId="77777777" w:rsidTr="00CE5D31">
        <w:tc>
          <w:tcPr>
            <w:tcW w:w="0" w:type="auto"/>
          </w:tcPr>
          <w:p w14:paraId="068D8420" w14:textId="77777777" w:rsidR="004A0394" w:rsidRDefault="00000000">
            <w:pPr>
              <w:pStyle w:val="Compact"/>
            </w:pPr>
            <w:r>
              <w:rPr>
                <w:b/>
                <w:bCs/>
              </w:rPr>
              <w:lastRenderedPageBreak/>
              <w:t>Uncertain</w:t>
            </w:r>
          </w:p>
        </w:tc>
        <w:tc>
          <w:tcPr>
            <w:tcW w:w="0" w:type="auto"/>
          </w:tcPr>
          <w:p w14:paraId="7E12739F" w14:textId="77777777" w:rsidR="004A0394" w:rsidRDefault="00000000">
            <w:pPr>
              <w:pStyle w:val="Compact"/>
            </w:pPr>
            <w:r>
              <w:t>Uncertain as to the final outcome. For artistic activity, uncertainty may sit with the reception of the work.</w:t>
            </w:r>
          </w:p>
        </w:tc>
        <w:tc>
          <w:tcPr>
            <w:tcW w:w="0" w:type="auto"/>
          </w:tcPr>
          <w:p w14:paraId="24EA9D37" w14:textId="77777777" w:rsidR="004A0394" w:rsidRDefault="00000000">
            <w:pPr>
              <w:pStyle w:val="Compact"/>
            </w:pPr>
            <w:r>
              <w:t>Outcome genuinely unsettled at the outset: whether the constraint-driven method would yield a coherent film at all, and how the work would be received once public. Reception uncertainty is real: the film's reading is tested in its festival exhibition and audience encounter, not predetermined.</w:t>
            </w:r>
          </w:p>
        </w:tc>
      </w:tr>
      <w:tr w:rsidR="004A0394" w14:paraId="61D97E3C" w14:textId="77777777" w:rsidTr="00CE5D31">
        <w:tc>
          <w:tcPr>
            <w:tcW w:w="0" w:type="auto"/>
          </w:tcPr>
          <w:p w14:paraId="63FCDC65" w14:textId="77777777" w:rsidR="004A0394" w:rsidRDefault="00000000">
            <w:pPr>
              <w:pStyle w:val="Compact"/>
            </w:pPr>
            <w:r>
              <w:rPr>
                <w:b/>
                <w:bCs/>
              </w:rPr>
              <w:t>Systematic</w:t>
            </w:r>
          </w:p>
        </w:tc>
        <w:tc>
          <w:tcPr>
            <w:tcW w:w="0" w:type="auto"/>
          </w:tcPr>
          <w:p w14:paraId="76A00A65" w14:textId="77777777" w:rsidR="004A0394" w:rsidRDefault="00000000">
            <w:pPr>
              <w:pStyle w:val="Compact"/>
            </w:pPr>
            <w:r>
              <w:t>Planned and budgeted.</w:t>
            </w:r>
          </w:p>
        </w:tc>
        <w:tc>
          <w:tcPr>
            <w:tcW w:w="0" w:type="auto"/>
          </w:tcPr>
          <w:p w14:paraId="74BBC09F" w14:textId="77777777" w:rsidR="004A0394" w:rsidRDefault="00000000">
            <w:pPr>
              <w:pStyle w:val="Compact"/>
            </w:pPr>
            <w:r>
              <w:t>Executed to a deliberate method: a defined two-day schedule, a fixed location, a minimal budget, named collaborators, and a single practitioner holding the director, cinematographer and editor roles by design. The constraint set is the research instrument.</w:t>
            </w:r>
          </w:p>
        </w:tc>
      </w:tr>
      <w:tr w:rsidR="004A0394" w14:paraId="30F6D38C" w14:textId="77777777" w:rsidTr="00CE5D31">
        <w:tc>
          <w:tcPr>
            <w:tcW w:w="0" w:type="auto"/>
          </w:tcPr>
          <w:p w14:paraId="6FCCA1FB" w14:textId="77777777" w:rsidR="004A0394" w:rsidRDefault="00000000">
            <w:pPr>
              <w:pStyle w:val="Compact"/>
            </w:pPr>
            <w:r>
              <w:rPr>
                <w:b/>
                <w:bCs/>
              </w:rPr>
              <w:t>Transferable / reproducible</w:t>
            </w:r>
          </w:p>
        </w:tc>
        <w:tc>
          <w:tcPr>
            <w:tcW w:w="0" w:type="auto"/>
          </w:tcPr>
          <w:p w14:paraId="186F0063" w14:textId="77777777" w:rsidR="004A0394" w:rsidRDefault="00000000">
            <w:pPr>
              <w:pStyle w:val="Compact"/>
            </w:pPr>
            <w:r>
              <w:t>Findings can be taken up and applied by others.</w:t>
            </w:r>
          </w:p>
        </w:tc>
        <w:tc>
          <w:tcPr>
            <w:tcW w:w="0" w:type="auto"/>
          </w:tcPr>
          <w:p w14:paraId="756EA683" w14:textId="77777777" w:rsidR="004A0394" w:rsidRDefault="00000000">
            <w:pPr>
              <w:pStyle w:val="Compact"/>
            </w:pPr>
            <w:r>
              <w:t>The fast-turnaround method is explicitly portable: already in use as a teaching case for Masters of Film and Screen Arts students, and as a proof of concept for a larger planned work. The transferable output is the method, demonstrated through the film, not the film as a reproducible object.</w:t>
            </w:r>
          </w:p>
        </w:tc>
      </w:tr>
    </w:tbl>
    <w:p w14:paraId="081E612D" w14:textId="77777777" w:rsidR="004A0394" w:rsidRDefault="00000000">
      <w:pPr>
        <w:pStyle w:val="BodyText"/>
      </w:pPr>
      <w:r>
        <w:t xml:space="preserve">On all five criteria the output meets the threshold. None of this assessment depends on the standing of the festivals: it depends on the film's method, concept, and demonstrated transferability. This is the judgement the institution makes when it admits a work to the research record, and it is the judgement the </w:t>
      </w:r>
      <w:r>
        <w:rPr>
          <w:i/>
          <w:iCs/>
        </w:rPr>
        <w:t>Crowded River</w:t>
      </w:r>
      <w:r>
        <w:t xml:space="preserve"> assessment returned in the affirmative.</w:t>
      </w:r>
    </w:p>
    <w:p w14:paraId="1082C17C" w14:textId="77777777" w:rsidR="004A0394" w:rsidRDefault="00000000">
      <w:pPr>
        <w:pStyle w:val="Heading2"/>
      </w:pPr>
      <w:r>
        <w:t>E.2 Stage two: the significance judgement, how much weight does it carry?</w:t>
      </w:r>
    </w:p>
    <w:p w14:paraId="03456620" w14:textId="77777777" w:rsidR="004A0394" w:rsidRDefault="00000000">
      <w:pPr>
        <w:pStyle w:val="BodyText"/>
      </w:pPr>
      <w:r>
        <w:t>This is a separate question, and one the threshold assessment does not answer. It is where the modesty of the output, and the over-reach of any claim to international standing, becomes visible. It is the question a promotion panel or performance review would ask, not whether the work is research, but how significant a research contribution it is.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704"/>
        <w:gridCol w:w="3853"/>
        <w:gridCol w:w="3453"/>
      </w:tblGrid>
      <w:tr w:rsidR="004A0394" w14:paraId="740E4E6B" w14:textId="77777777" w:rsidTr="00CE5D31">
        <w:trPr>
          <w:cnfStyle w:val="100000000000" w:firstRow="1" w:lastRow="0" w:firstColumn="0" w:lastColumn="0" w:oddVBand="0" w:evenVBand="0" w:oddHBand="0" w:evenHBand="0" w:firstRowFirstColumn="0" w:firstRowLastColumn="0" w:lastRowFirstColumn="0" w:lastRowLastColumn="0"/>
          <w:tblHeader/>
        </w:trPr>
        <w:tc>
          <w:tcPr>
            <w:tcW w:w="0" w:type="auto"/>
            <w:tcBorders>
              <w:bottom w:val="none" w:sz="0" w:space="0" w:color="auto"/>
            </w:tcBorders>
          </w:tcPr>
          <w:p w14:paraId="186B9652" w14:textId="77777777" w:rsidR="004A0394" w:rsidRDefault="00000000">
            <w:pPr>
              <w:pStyle w:val="Compact"/>
            </w:pPr>
            <w:r>
              <w:rPr>
                <w:b/>
                <w:bCs/>
              </w:rPr>
              <w:t>Significance dimension</w:t>
            </w:r>
          </w:p>
        </w:tc>
        <w:tc>
          <w:tcPr>
            <w:tcW w:w="0" w:type="auto"/>
            <w:tcBorders>
              <w:bottom w:val="none" w:sz="0" w:space="0" w:color="auto"/>
            </w:tcBorders>
          </w:tcPr>
          <w:p w14:paraId="72728036" w14:textId="77777777" w:rsidR="004A0394" w:rsidRDefault="00000000">
            <w:pPr>
              <w:pStyle w:val="Compact"/>
            </w:pPr>
            <w:r>
              <w:rPr>
                <w:b/>
                <w:bCs/>
              </w:rPr>
              <w:t>Evidence in the record</w:t>
            </w:r>
          </w:p>
        </w:tc>
        <w:tc>
          <w:tcPr>
            <w:tcW w:w="0" w:type="auto"/>
            <w:tcBorders>
              <w:bottom w:val="none" w:sz="0" w:space="0" w:color="auto"/>
            </w:tcBorders>
          </w:tcPr>
          <w:p w14:paraId="2DAD7FD8" w14:textId="77777777" w:rsidR="004A0394" w:rsidRDefault="00000000">
            <w:pPr>
              <w:pStyle w:val="Compact"/>
            </w:pPr>
            <w:r>
              <w:rPr>
                <w:b/>
                <w:bCs/>
              </w:rPr>
              <w:t>Honest reading</w:t>
            </w:r>
          </w:p>
        </w:tc>
      </w:tr>
      <w:tr w:rsidR="004A0394" w14:paraId="2C18EFBA" w14:textId="77777777" w:rsidTr="00CE5D31">
        <w:tc>
          <w:tcPr>
            <w:tcW w:w="0" w:type="auto"/>
          </w:tcPr>
          <w:p w14:paraId="63E34D9D" w14:textId="77777777" w:rsidR="004A0394" w:rsidRDefault="00000000">
            <w:pPr>
              <w:pStyle w:val="Compact"/>
            </w:pPr>
            <w:r>
              <w:rPr>
                <w:b/>
                <w:bCs/>
              </w:rPr>
              <w:t>Peer-review event</w:t>
            </w:r>
          </w:p>
        </w:tc>
        <w:tc>
          <w:tcPr>
            <w:tcW w:w="0" w:type="auto"/>
          </w:tcPr>
          <w:p w14:paraId="22256BB6" w14:textId="77777777" w:rsidR="004A0394" w:rsidRDefault="00000000">
            <w:pPr>
              <w:pStyle w:val="Compact"/>
            </w:pPr>
            <w:r>
              <w:t>Programmed into the Nyack International Film Festival (14 years running; named festival director; published multi-night programme; juried awards; real venue). Selected by a second online genre festival.</w:t>
            </w:r>
          </w:p>
        </w:tc>
        <w:tc>
          <w:tcPr>
            <w:tcW w:w="0" w:type="auto"/>
          </w:tcPr>
          <w:p w14:paraId="10A1D945" w14:textId="77777777" w:rsidR="004A0394" w:rsidRDefault="00000000">
            <w:pPr>
              <w:pStyle w:val="Compact"/>
            </w:pPr>
            <w:r>
              <w:t>Genuine competitive selection by expert programmers: the peer-review function is performed. The festivals are established and legitimate, not fee-for-laurels operations.</w:t>
            </w:r>
          </w:p>
        </w:tc>
      </w:tr>
      <w:tr w:rsidR="004A0394" w14:paraId="792973E1" w14:textId="77777777" w:rsidTr="00CE5D31">
        <w:tc>
          <w:tcPr>
            <w:tcW w:w="0" w:type="auto"/>
          </w:tcPr>
          <w:p w14:paraId="53B18D3C" w14:textId="77777777" w:rsidR="004A0394" w:rsidRDefault="00000000">
            <w:pPr>
              <w:pStyle w:val="Compact"/>
            </w:pPr>
            <w:r>
              <w:rPr>
                <w:b/>
                <w:bCs/>
              </w:rPr>
              <w:lastRenderedPageBreak/>
              <w:t>Venue standing</w:t>
            </w:r>
          </w:p>
        </w:tc>
        <w:tc>
          <w:tcPr>
            <w:tcW w:w="0" w:type="auto"/>
          </w:tcPr>
          <w:p w14:paraId="5D840864" w14:textId="77777777" w:rsidR="004A0394" w:rsidRDefault="00000000">
            <w:pPr>
              <w:pStyle w:val="Compact"/>
            </w:pPr>
            <w:r>
              <w:t>Small regional festival; FilmFreeway “GOLD” tier (a paid subscription badge, not an accolade); warm reviews of the hospitality-and-communication kind rather than critical notices.</w:t>
            </w:r>
          </w:p>
        </w:tc>
        <w:tc>
          <w:tcPr>
            <w:tcW w:w="0" w:type="auto"/>
          </w:tcPr>
          <w:p w14:paraId="2D42DD1D" w14:textId="77777777" w:rsidR="004A0394" w:rsidRDefault="00000000">
            <w:pPr>
              <w:pStyle w:val="Compact"/>
            </w:pPr>
            <w:r>
              <w:t>Lower end of the significance stratification. Not a recognised tier-one or tier-two festival; carries the weight of a minor-venue selection, not a flagship one.</w:t>
            </w:r>
          </w:p>
        </w:tc>
      </w:tr>
      <w:tr w:rsidR="004A0394" w14:paraId="4101872C" w14:textId="77777777" w:rsidTr="00CE5D31">
        <w:tc>
          <w:tcPr>
            <w:tcW w:w="0" w:type="auto"/>
          </w:tcPr>
          <w:p w14:paraId="464F707B" w14:textId="77777777" w:rsidR="004A0394" w:rsidRDefault="00000000">
            <w:pPr>
              <w:pStyle w:val="Compact"/>
            </w:pPr>
            <w:r>
              <w:rPr>
                <w:b/>
                <w:bCs/>
              </w:rPr>
              <w:t>Critical / scholarly uptake</w:t>
            </w:r>
          </w:p>
        </w:tc>
        <w:tc>
          <w:tcPr>
            <w:tcW w:w="0" w:type="auto"/>
          </w:tcPr>
          <w:p w14:paraId="709AEE2E" w14:textId="77777777" w:rsidR="004A0394" w:rsidRDefault="00000000">
            <w:pPr>
              <w:pStyle w:val="Compact"/>
            </w:pPr>
            <w:r>
              <w:t>No critical reviews, catalogue essays, scholarly citation, or evidence of influence on other practitioners at this stage.</w:t>
            </w:r>
          </w:p>
        </w:tc>
        <w:tc>
          <w:tcPr>
            <w:tcW w:w="0" w:type="auto"/>
          </w:tcPr>
          <w:p w14:paraId="02B05034" w14:textId="77777777" w:rsidR="004A0394" w:rsidRDefault="00000000">
            <w:pPr>
              <w:pStyle w:val="Compact"/>
            </w:pPr>
            <w:r>
              <w:t>Citation-over-time evidence is currently absent. This is an emerging output; uptake may accrue, but cannot yet be claimed.</w:t>
            </w:r>
          </w:p>
        </w:tc>
      </w:tr>
      <w:tr w:rsidR="004A0394" w14:paraId="5FC19473" w14:textId="77777777" w:rsidTr="00CE5D31">
        <w:tc>
          <w:tcPr>
            <w:tcW w:w="0" w:type="auto"/>
          </w:tcPr>
          <w:p w14:paraId="72AB8A3C" w14:textId="77777777" w:rsidR="004A0394" w:rsidRDefault="00000000">
            <w:pPr>
              <w:pStyle w:val="Compact"/>
            </w:pPr>
            <w:r>
              <w:rPr>
                <w:b/>
                <w:bCs/>
              </w:rPr>
              <w:t>Claimed significance</w:t>
            </w:r>
          </w:p>
        </w:tc>
        <w:tc>
          <w:tcPr>
            <w:tcW w:w="0" w:type="auto"/>
          </w:tcPr>
          <w:p w14:paraId="39E31C2E" w14:textId="77777777" w:rsidR="004A0394" w:rsidRDefault="00000000">
            <w:pPr>
              <w:pStyle w:val="Compact"/>
            </w:pPr>
            <w:r>
              <w:t>The proforma nominates “International” significance.</w:t>
            </w:r>
          </w:p>
        </w:tc>
        <w:tc>
          <w:tcPr>
            <w:tcW w:w="0" w:type="auto"/>
          </w:tcPr>
          <w:p w14:paraId="58BCD844" w14:textId="77777777" w:rsidR="004A0394" w:rsidRDefault="00000000">
            <w:pPr>
              <w:pStyle w:val="Compact"/>
            </w:pPr>
            <w:r>
              <w:t>Over-claimed on the evidence. Cross-border screening is not the same as international standing. Better framed as a proof-of-concept output of national-level significance at most.</w:t>
            </w:r>
          </w:p>
        </w:tc>
      </w:tr>
    </w:tbl>
    <w:p w14:paraId="2068E143" w14:textId="77777777" w:rsidR="004A0394" w:rsidRDefault="00000000">
      <w:pPr>
        <w:pStyle w:val="Heading2"/>
      </w:pPr>
      <w:r>
        <w:t>E.3 What the case demonstrates</w:t>
      </w:r>
    </w:p>
    <w:p w14:paraId="729686E0" w14:textId="77777777" w:rsidR="004A0394" w:rsidRDefault="00000000">
      <w:pPr>
        <w:pStyle w:val="BodyText"/>
      </w:pPr>
      <w:r>
        <w:rPr>
          <w:i/>
          <w:iCs/>
        </w:rPr>
        <w:t>Crowded River</w:t>
      </w:r>
      <w:r>
        <w:t xml:space="preserve"> meets the threshold for research (demonstrably, across all five HERDC criteria) while sitting at the lower end of the significance scale. Both statements are true at once, and the apparatus is working precisely because it can hold them together. The festival selection performs the peer-review function in structural terms; the standing of the festival determines the weight that selection carries, and here the weight is modest. The claim to international significance is not supported by the evidence and would be better framed as a proof-of-concept output of national-level significance at most. Read this way, the case is not a weakness for the translation argument but a vindication of it: the same two-stage logic that lets the institution count a minor-journal article as research while reserving its higher regard for flagship work lets it count </w:t>
      </w:r>
      <w:r>
        <w:rPr>
          <w:i/>
          <w:iCs/>
        </w:rPr>
        <w:t>Crowded River</w:t>
      </w:r>
      <w:r>
        <w:t xml:space="preserve"> as research while reading it, accurately, as a modest output.</w:t>
      </w:r>
    </w:p>
    <w:p w14:paraId="13C140C7" w14:textId="77777777" w:rsidR="004A0394" w:rsidRDefault="00000000">
      <w:pPr>
        <w:pStyle w:val="Heading1"/>
      </w:pPr>
      <w:bookmarkStart w:id="13" w:name="references"/>
      <w:bookmarkEnd w:id="12"/>
      <w:r>
        <w:t>References</w:t>
      </w:r>
    </w:p>
    <w:p w14:paraId="77DEE071" w14:textId="77777777" w:rsidR="004A0394" w:rsidRDefault="00000000">
      <w:pPr>
        <w:pStyle w:val="FirstParagraph"/>
      </w:pPr>
      <w:r>
        <w:t>Australian Research Council (2018). Introduction: definitions. Engagement and Impact Assessment 2018, National Report. https://dataportal.arc.gov.au/EI/NationalReport/2018/pages/introduction/index.html?id=definitions</w:t>
      </w:r>
    </w:p>
    <w:p w14:paraId="3C553A33" w14:textId="77777777" w:rsidR="004A0394" w:rsidRDefault="00000000">
      <w:pPr>
        <w:pStyle w:val="BodyText"/>
      </w:pPr>
      <w:r>
        <w:t>Barrett, E. and Bolt, B. (eds.) (2007). Practice as Research: Approaches to Creative Arts Enquiry. London: I.B. Tauris.</w:t>
      </w:r>
    </w:p>
    <w:p w14:paraId="2CA686A1" w14:textId="77777777" w:rsidR="004A0394" w:rsidRDefault="00000000">
      <w:pPr>
        <w:pStyle w:val="BodyText"/>
      </w:pPr>
      <w:r>
        <w:t>Barwick, L. and Toltz, J. (2017). Quantifying the ineffable? The University of Sydney’s 2014 guidelines for non-traditional research outputs. In Aesthetics, Performing Arts and the Audit Society, Chapter 6, pp. 67–77.</w:t>
      </w:r>
    </w:p>
    <w:p w14:paraId="0B8788A3" w14:textId="77777777" w:rsidR="004A0394" w:rsidRDefault="00000000">
      <w:pPr>
        <w:pStyle w:val="BodyText"/>
      </w:pPr>
      <w:r>
        <w:lastRenderedPageBreak/>
        <w:t>Borgdorff, H. (2012). The Conflict of the Faculties: Perspectives on Artistic Research and Academia. Leiden: Leiden University Press.</w:t>
      </w:r>
    </w:p>
    <w:p w14:paraId="699186E4" w14:textId="77777777" w:rsidR="004A0394" w:rsidRDefault="00000000">
      <w:pPr>
        <w:pStyle w:val="BodyText"/>
      </w:pPr>
      <w:r>
        <w:t>Faculty of Arts and Social Sciences (2024). Academic Excellence Framework and Evidence Menu, Level D. The University of Sydney.</w:t>
      </w:r>
    </w:p>
    <w:p w14:paraId="0EF0C314" w14:textId="77777777" w:rsidR="004A0394" w:rsidRDefault="00000000">
      <w:pPr>
        <w:pStyle w:val="BodyText"/>
      </w:pPr>
      <w:r>
        <w:t>Glisovic, S. and Batty, C. (2026). Evaluating creative practice research: A new framework. Arts and Humanities in Higher Education. DOI: 10.1177/14740222261432260</w:t>
      </w:r>
    </w:p>
    <w:p w14:paraId="45789F78" w14:textId="77777777" w:rsidR="004A0394" w:rsidRDefault="00000000">
      <w:pPr>
        <w:pStyle w:val="BodyText"/>
      </w:pPr>
      <w:r>
        <w:t>Haseman, B. (2006). A manifesto for performative research. Media International Australia, 118(1), 98–106.</w:t>
      </w:r>
    </w:p>
    <w:p w14:paraId="3F8AAA31" w14:textId="77777777" w:rsidR="004A0394" w:rsidRDefault="00000000">
      <w:pPr>
        <w:pStyle w:val="BodyText"/>
      </w:pPr>
      <w:r>
        <w:t>Knowles, J. (2020). Creative practice research and the NTRO label. Creative Matters, Edition 1.</w:t>
      </w:r>
    </w:p>
    <w:p w14:paraId="45AFED59" w14:textId="77777777" w:rsidR="004A0394" w:rsidRDefault="00000000">
      <w:pPr>
        <w:pStyle w:val="BodyText"/>
      </w:pPr>
      <w:r>
        <w:t>Lesage, D. (2009). Who’s afraid of artistic research? On measuring artistic research output. Art &amp; Research: A Journal of Ideas, Contexts and Methods, 2(2).</w:t>
      </w:r>
    </w:p>
    <w:p w14:paraId="0931371E" w14:textId="77777777" w:rsidR="004A0394" w:rsidRDefault="00000000">
      <w:pPr>
        <w:pStyle w:val="BodyText"/>
      </w:pPr>
      <w:r>
        <w:t>McKee, A. (2020). The criteria used by key decision makers in Australia to judge the academic quality of NTROs. Media International Australia, 177(1), 165–175.</w:t>
      </w:r>
    </w:p>
    <w:p w14:paraId="401C2DD3" w14:textId="77777777" w:rsidR="004A0394" w:rsidRDefault="00000000">
      <w:pPr>
        <w:pStyle w:val="BodyText"/>
      </w:pPr>
      <w:r>
        <w:t>Mestrom, S. (forthcoming). Beyond the book: Hidden infrastructure and the cost of creative practice research. Working paper, Sydney College of the Arts. Project portfolio: https://mestrom.org/public-art/</w:t>
      </w:r>
    </w:p>
    <w:p w14:paraId="1416CCC6" w14:textId="77777777" w:rsidR="004A0394" w:rsidRDefault="00000000">
      <w:pPr>
        <w:pStyle w:val="BodyText"/>
      </w:pPr>
      <w:r>
        <w:t>Mestrom, S. and FASS NTRO Working Group (2026). NTRO Evidence Template, version 3.0. The University of Sydney.</w:t>
      </w:r>
    </w:p>
    <w:p w14:paraId="49BA8898" w14:textId="77777777" w:rsidR="004A0394" w:rsidRDefault="00000000">
      <w:pPr>
        <w:pStyle w:val="BodyText"/>
      </w:pPr>
      <w:r>
        <w:t>Nelson, R. (2013). Practice as Research in the Arts: Principles, Protocols, Pedagogies, Resistances. London: Palgrave Macmillan.</w:t>
      </w:r>
    </w:p>
    <w:p w14:paraId="1416FFB2" w14:textId="77777777" w:rsidR="004A0394" w:rsidRDefault="00000000">
      <w:pPr>
        <w:pStyle w:val="BodyText"/>
      </w:pPr>
      <w:r>
        <w:t>Nelson, R. (2022). Practice as Research in the Arts (and Beyond): Principles, Processes, Contexts, Achievements. London: Palgrave Macmillan.</w:t>
      </w:r>
    </w:p>
    <w:p w14:paraId="515C0649" w14:textId="77777777" w:rsidR="004A0394" w:rsidRDefault="00000000">
      <w:pPr>
        <w:pStyle w:val="BodyText"/>
      </w:pPr>
      <w:r>
        <w:t>OECD (2015). Frascati Manual 2015: Guidelines for Collecting and Reporting Data on Research and Experimental Development. Paris: OECD Publishing.</w:t>
      </w:r>
    </w:p>
    <w:p w14:paraId="526A0851" w14:textId="77777777" w:rsidR="004A0394" w:rsidRDefault="00000000">
      <w:pPr>
        <w:pStyle w:val="BodyText"/>
      </w:pPr>
      <w:r>
        <w:t>Rust, C., Mottram, J. and Till, J. (2007). AHRC Research Review: Practice-led Research in Art, Design and Architecture. London: Arts and Humanities Research Council.</w:t>
      </w:r>
    </w:p>
    <w:p w14:paraId="48CDF78C" w14:textId="77777777" w:rsidR="004A0394" w:rsidRDefault="00000000">
      <w:pPr>
        <w:pStyle w:val="BodyText"/>
      </w:pPr>
      <w:r>
        <w:t>Schön, D. A. (1983). The Reflective Practitioner: How Professionals Think in Action. New York: Basic Books.</w:t>
      </w:r>
    </w:p>
    <w:p w14:paraId="209E93D2" w14:textId="77777777" w:rsidR="004A0394" w:rsidRDefault="00000000">
      <w:pPr>
        <w:pStyle w:val="BodyText"/>
      </w:pPr>
      <w:r>
        <w:t>Schön, D. A. (1987). Educating the Reflective Practitioner: Toward a New Design for Teaching and Learning in the Professions. San Francisco: Jossey-Bass.</w:t>
      </w:r>
    </w:p>
    <w:p w14:paraId="7E99B095" w14:textId="77777777" w:rsidR="004A0394" w:rsidRDefault="00000000">
      <w:pPr>
        <w:pStyle w:val="BodyText"/>
      </w:pPr>
      <w:r>
        <w:t>Schwab, M. (2011). Peer reviewing in the Journal for Artistic Research. JAR Editorial. Journal for Artistic Research, 1.</w:t>
      </w:r>
    </w:p>
    <w:p w14:paraId="69184767" w14:textId="77777777" w:rsidR="004A0394" w:rsidRDefault="00000000">
      <w:pPr>
        <w:pStyle w:val="BodyText"/>
      </w:pPr>
      <w:r>
        <w:t>Smith, H. and Dean, R. T. (2009). Practice-Led Research, Research-Led Practice in the Creative Arts. Edinburgh: Edinburgh University Press.</w:t>
      </w:r>
    </w:p>
    <w:p w14:paraId="63781D3F" w14:textId="77777777" w:rsidR="004A0394" w:rsidRDefault="00000000">
      <w:pPr>
        <w:pStyle w:val="BodyText"/>
      </w:pPr>
      <w:r>
        <w:t>Strand, D. (1998). Research in the Creative Arts. Canberra: Department of Employment, Education, Training and Youth Affairs, Commonwealth of Australia.</w:t>
      </w:r>
    </w:p>
    <w:p w14:paraId="1A9A17B8" w14:textId="536D53AF" w:rsidR="00603E56" w:rsidRDefault="00603E56" w:rsidP="00603E56">
      <w:pPr>
        <w:pStyle w:val="font-claude-response-body"/>
      </w:pPr>
      <w:r>
        <w:lastRenderedPageBreak/>
        <w:t>Sullivan, G. (2005). Art Practice as Research: Inquiry in the Visual Arts. Thousand Oaks: SAGE Publications.</w:t>
      </w:r>
      <w:r w:rsidR="001467DE">
        <w:t xml:space="preserve"> </w:t>
      </w:r>
      <w:r w:rsidR="001467DE">
        <w:rPr>
          <w:rStyle w:val="Emphasis"/>
        </w:rPr>
        <w:t>Art Practice as Research: Inquiry in the Visual Arts</w:t>
      </w:r>
      <w:r w:rsidR="001467DE">
        <w:t xml:space="preserve"> </w:t>
      </w:r>
      <w:r w:rsidR="001467DE">
        <w:t>-</w:t>
      </w:r>
      <w:r w:rsidR="001467DE">
        <w:t xml:space="preserve"> is the canonical source for exactly this atelier/academy tension.</w:t>
      </w:r>
    </w:p>
    <w:p w14:paraId="1206EA22" w14:textId="77777777" w:rsidR="004A0394" w:rsidRDefault="00000000">
      <w:pPr>
        <w:pStyle w:val="BodyText"/>
      </w:pPr>
      <w:r>
        <w:t>Sullivan, G. (2009). Making space: The purpose and place of practice-led research. In H. Smith and R. T. Dean (eds.) Practice-Led Research, Research-Led Practice in the Creative Arts. Edinburgh: Edinburgh University Press, 41–65.</w:t>
      </w:r>
    </w:p>
    <w:p w14:paraId="2E50D193" w14:textId="77777777" w:rsidR="004A0394" w:rsidRDefault="00000000">
      <w:pPr>
        <w:pStyle w:val="BodyText"/>
      </w:pPr>
      <w:r>
        <w:t>Wilson, J. (2017). Artists in the University: Positioning Artistic Research in Higher Education. London: Springer.</w:t>
      </w:r>
    </w:p>
    <w:p w14:paraId="0AB1EAA5" w14:textId="77777777" w:rsidR="00603E56" w:rsidRDefault="00603E56" w:rsidP="00603E56">
      <w:pPr>
        <w:pStyle w:val="font-claude-response-body"/>
      </w:pPr>
      <w:r>
        <w:t xml:space="preserve">Australian Research Council (2018). Introduction: definitions. Engagement and Impact Assessment 2018, National Report. </w:t>
      </w:r>
      <w:hyperlink r:id="rId9" w:history="1">
        <w:r>
          <w:rPr>
            <w:rStyle w:val="Hyperlink"/>
          </w:rPr>
          <w:t>https://dataportal.arc.gov.au/EI/NationalReport/2018/pages/introduction/index.html?id=definitions</w:t>
        </w:r>
      </w:hyperlink>
    </w:p>
    <w:p w14:paraId="213F7604" w14:textId="77777777" w:rsidR="00603E56" w:rsidRDefault="00603E56">
      <w:pPr>
        <w:pStyle w:val="BodyText"/>
      </w:pPr>
    </w:p>
    <w:p w14:paraId="7F93F3AD" w14:textId="77777777" w:rsidR="00CE5D31" w:rsidRDefault="00CE5D31">
      <w:pPr>
        <w:rPr>
          <w:b/>
          <w:bCs/>
        </w:rPr>
      </w:pPr>
      <w:r>
        <w:rPr>
          <w:b/>
          <w:bCs/>
        </w:rPr>
        <w:br w:type="page"/>
      </w:r>
    </w:p>
    <w:p w14:paraId="24F78000" w14:textId="6997B1B9" w:rsidR="003B3D82" w:rsidRDefault="003B3D82">
      <w:pPr>
        <w:pStyle w:val="BodyText"/>
        <w:rPr>
          <w:b/>
          <w:bCs/>
        </w:rPr>
      </w:pPr>
      <w:r>
        <w:rPr>
          <w:b/>
          <w:bCs/>
        </w:rPr>
        <w:lastRenderedPageBreak/>
        <w:t>Translation, Not Exception (PART B)</w:t>
      </w:r>
    </w:p>
    <w:p w14:paraId="1A285ADD" w14:textId="5A3100C6" w:rsidR="004A0394" w:rsidRDefault="00000000">
      <w:pPr>
        <w:pStyle w:val="BodyText"/>
      </w:pPr>
      <w:r>
        <w:rPr>
          <w:b/>
          <w:bCs/>
        </w:rPr>
        <w:t>Reference document for the assessment</w:t>
      </w:r>
      <w:r w:rsidR="00CE5D31">
        <w:t xml:space="preserve"> </w:t>
      </w:r>
      <w:r>
        <w:rPr>
          <w:b/>
          <w:bCs/>
        </w:rPr>
        <w:t>of non-traditional research outputs</w:t>
      </w:r>
    </w:p>
    <w:p w14:paraId="19328AF5" w14:textId="77777777" w:rsidR="004A0394" w:rsidRDefault="00000000">
      <w:pPr>
        <w:pStyle w:val="BodyText"/>
      </w:pPr>
      <w:r>
        <w:rPr>
          <w:i/>
          <w:iCs/>
        </w:rPr>
        <w:t>A guide for the senior assessor pool</w:t>
      </w:r>
    </w:p>
    <w:p w14:paraId="43099519" w14:textId="77777777" w:rsidR="004A0394" w:rsidRDefault="00000000">
      <w:pPr>
        <w:pStyle w:val="BodyText"/>
      </w:pPr>
      <w:r>
        <w:rPr>
          <w:b/>
          <w:bCs/>
        </w:rPr>
        <w:t>WORKING DRAFT: for review and revision</w:t>
      </w:r>
    </w:p>
    <w:p w14:paraId="61A9AD7B" w14:textId="77777777" w:rsidR="004A0394" w:rsidRDefault="00000000">
      <w:pPr>
        <w:pStyle w:val="BodyText"/>
      </w:pPr>
      <w:r>
        <w:t>Companion document to the Translation paper (Mestrom)</w:t>
      </w:r>
    </w:p>
    <w:p w14:paraId="457139E0" w14:textId="77777777" w:rsidR="004A0394" w:rsidRDefault="00000000">
      <w:pPr>
        <w:pStyle w:val="BodyText"/>
      </w:pPr>
      <w:r>
        <w:t>Sanné Mestrom</w:t>
      </w:r>
    </w:p>
    <w:p w14:paraId="23C61953" w14:textId="77777777" w:rsidR="004A0394" w:rsidRDefault="00000000">
      <w:pPr>
        <w:pStyle w:val="BodyText"/>
      </w:pPr>
      <w:r>
        <w:t>Sydney College of the Arts · School of Art, Communication and English</w:t>
      </w:r>
    </w:p>
    <w:p w14:paraId="01C63B8E" w14:textId="77777777" w:rsidR="004A0394" w:rsidRDefault="00000000">
      <w:pPr>
        <w:pStyle w:val="BodyText"/>
      </w:pPr>
      <w:r>
        <w:t>Faculty of Arts and Social Sciences · University of Sydney</w:t>
      </w:r>
    </w:p>
    <w:p w14:paraId="2CE7651E" w14:textId="77777777" w:rsidR="004A0394" w:rsidRDefault="00000000">
      <w:pPr>
        <w:pStyle w:val="Heading1"/>
      </w:pPr>
      <w:bookmarkStart w:id="14" w:name="Xf10e4851da37206983b3c97da4a13bd930d2206"/>
      <w:bookmarkEnd w:id="13"/>
      <w:r>
        <w:t>Preamble: what this document is, and what it is not</w:t>
      </w:r>
    </w:p>
    <w:p w14:paraId="441F0206" w14:textId="77777777" w:rsidR="004A0394" w:rsidRDefault="00000000">
      <w:pPr>
        <w:pStyle w:val="Heading2"/>
      </w:pPr>
      <w:bookmarkStart w:id="15" w:name="purpose"/>
      <w:r>
        <w:t>Purpose</w:t>
      </w:r>
    </w:p>
    <w:p w14:paraId="749D6DA7" w14:textId="54E4D2F1" w:rsidR="004A0394" w:rsidRDefault="00000000">
      <w:pPr>
        <w:pStyle w:val="FirstParagraph"/>
      </w:pPr>
      <w:r>
        <w:t xml:space="preserve">This document is a guide for the senior assessor pool reading non-traditional research outputs (NTROs) within the institutional academic-evaluation framework. It exists to provide context, vocabulary, and disciplinary touchstones for the expert reading that the framework requires. It is structured by the seven template categories proposed in the Translation paper (Mestrom, </w:t>
      </w:r>
      <w:r w:rsidR="00CB72EE">
        <w:t>above – not yet published</w:t>
      </w:r>
      <w:r>
        <w:t>), and it expands those categories with examples, common failure modes, and cross-references to the institutional framework’s quality questions.</w:t>
      </w:r>
    </w:p>
    <w:p w14:paraId="568498D3" w14:textId="77777777" w:rsidR="004A0394" w:rsidRDefault="00000000">
      <w:pPr>
        <w:pStyle w:val="BodyText"/>
      </w:pPr>
      <w:r>
        <w:t>It is a working draft. It will be revised in consultation with peak bodies, with senior practitioners across the disciplines covered, and, critically, with Indigenous research leadership. The current draft is offered for sectoral feedback, not as a settled document.</w:t>
      </w:r>
    </w:p>
    <w:p w14:paraId="37E7CBEA" w14:textId="77777777" w:rsidR="004A0394" w:rsidRDefault="00000000">
      <w:pPr>
        <w:pStyle w:val="Heading2"/>
      </w:pPr>
      <w:bookmarkStart w:id="16" w:name="how-to-use-this-document"/>
      <w:bookmarkEnd w:id="15"/>
      <w:r>
        <w:t>How to use this document</w:t>
      </w:r>
    </w:p>
    <w:p w14:paraId="5286B41C" w14:textId="77777777" w:rsidR="004A0394" w:rsidRDefault="00000000">
      <w:pPr>
        <w:pStyle w:val="FirstParagraph"/>
      </w:pPr>
      <w:r>
        <w:t>This document is intended as a support for the senior assessor’s expert judgement. It does the following work.</w:t>
      </w:r>
    </w:p>
    <w:p w14:paraId="14B889CA" w14:textId="77777777" w:rsidR="004A0394" w:rsidRDefault="00000000">
      <w:pPr>
        <w:pStyle w:val="BodyText"/>
      </w:pPr>
      <w:r>
        <w:t>It provides shared vocabulary across the assessor pool, so that the institutional reading of an NTRO is not over-determined by whichever individual reads it on any given occasion. It locates disciplinary conventions that the framework cannot itself name. It identifies the standing markers (venues, presses, programs, commissioning bodies) that the field uses to read the work. It surfaces the common failure modes in NTRO assessment, including the failure modes that follow from the absence of a document like this one.</w:t>
      </w:r>
    </w:p>
    <w:p w14:paraId="068AC847" w14:textId="77777777" w:rsidR="004A0394" w:rsidRDefault="00000000">
      <w:pPr>
        <w:pStyle w:val="BodyText"/>
      </w:pPr>
      <w:r>
        <w:t>The senior assessor reading an NTRO should treat this document as background context for their reading, in the way that a peer reviewer of a journal article holds disciplinary knowledge of the field’s standards. It is the assessor’s expert judgement that does the institutional work; this document supports that judgement.</w:t>
      </w:r>
    </w:p>
    <w:p w14:paraId="1532009F" w14:textId="77777777" w:rsidR="004A0394" w:rsidRDefault="00000000">
      <w:pPr>
        <w:pStyle w:val="Heading2"/>
      </w:pPr>
      <w:bookmarkStart w:id="17" w:name="Xe7340bad68f5c7539304547cba3dd8fe3cc6767"/>
      <w:bookmarkEnd w:id="16"/>
      <w:r>
        <w:lastRenderedPageBreak/>
        <w:t>How NOT to use this document: the ERA-rankings precedent</w:t>
      </w:r>
    </w:p>
    <w:p w14:paraId="3A4E8969" w14:textId="77777777" w:rsidR="004A0394" w:rsidRDefault="00000000">
      <w:pPr>
        <w:pStyle w:val="FirstParagraph"/>
      </w:pPr>
      <w:r>
        <w:rPr>
          <w:i/>
          <w:iCs/>
        </w:rPr>
        <w:t>Excellence in Research for Australia journal rankings, introduced 2010, abolished 2011 by the then federal Minister Senator Kim Carr. The rankings were abolished because they were being used as tier-counts by promotion panels and grant assessment processes: that is, the number of papers in A</w:t>
      </w:r>
      <w:r>
        <w:t xml:space="preserve"> journals </w:t>
      </w:r>
      <w:r>
        <w:rPr>
          <w:b/>
          <w:bCs/>
        </w:rPr>
        <w:t>was</w:t>
      </w:r>
      <w:r>
        <w:t xml:space="preserve"> being read as a quality </w:t>
      </w:r>
      <w:r>
        <w:rPr>
          <w:b/>
          <w:bCs/>
        </w:rPr>
        <w:t>measure in itself, separate</w:t>
      </w:r>
      <w:r>
        <w:t xml:space="preserve"> from the substantive reading of the work. The intended use of the rankings was to support expert assessment; the actual use was to substitute for it. This document is designed in explicit acknowledgement of that precedent.*</w:t>
      </w:r>
    </w:p>
    <w:p w14:paraId="71FA5D14" w14:textId="77777777" w:rsidR="004A0394" w:rsidRDefault="00000000">
      <w:pPr>
        <w:pStyle w:val="BodyText"/>
      </w:pPr>
      <w:r>
        <w:t>Three safeguards follow.</w:t>
      </w:r>
    </w:p>
    <w:p w14:paraId="2CD1C399" w14:textId="77777777" w:rsidR="004A0394" w:rsidRDefault="00000000">
      <w:pPr>
        <w:pStyle w:val="BodyText"/>
      </w:pPr>
      <w:r>
        <w:rPr>
          <w:b/>
          <w:bCs/>
        </w:rPr>
        <w:t xml:space="preserve">First: this document must never be used as a tier-count. </w:t>
      </w:r>
      <w:r>
        <w:t>It does not list ‘tier A’ venues and ‘tier B’ venues. It does not assign weights or scores to categories. Where it identifies standing markers, it identifies them as context for expert reading, not as substitutes for it. Reading an NTRO is not a matter of counting how many tier-A markers it carries; it is a matter of an expert assessor reading the body of work and forming a judgement about its rigour, contribution, reach and standing.</w:t>
      </w:r>
    </w:p>
    <w:p w14:paraId="06499DAD" w14:textId="77777777" w:rsidR="004A0394" w:rsidRDefault="00000000">
      <w:pPr>
        <w:pStyle w:val="BodyText"/>
      </w:pPr>
      <w:r>
        <w:rPr>
          <w:b/>
          <w:bCs/>
        </w:rPr>
        <w:t xml:space="preserve">Second: this document must never be used in individual promotion assessment as a category-counting instrument. </w:t>
      </w:r>
      <w:r>
        <w:t>A candidate’s promotion case is read against the institutional academic-evaluation framework on the substantive evidence presented. This document supports the senior assessor’s contextual reading of that evidence; it does not provide a category-by-category checklist against which the candidate can be scored.</w:t>
      </w:r>
    </w:p>
    <w:p w14:paraId="5132A833" w14:textId="77777777" w:rsidR="004A0394" w:rsidRDefault="00000000">
      <w:pPr>
        <w:pStyle w:val="BodyText"/>
      </w:pPr>
      <w:r>
        <w:rPr>
          <w:b/>
          <w:bCs/>
        </w:rPr>
        <w:t xml:space="preserve">Third: this document is to be revised regularly. </w:t>
      </w:r>
      <w:r>
        <w:t>The field’s standing markers and conventions evolve. Venues rise and fall in significance; new commissioning bodies emerge; disciplinary boundaries shift. A reference document that is allowed to ossify becomes the very ranking instrument that the ERA precedent warns against. Revision must be conducted regularly, every three to five years at minimum, and must be conducted by working groups that include senior practitioners from each discipline covered.</w:t>
      </w:r>
    </w:p>
    <w:p w14:paraId="1F6B88C4" w14:textId="77777777" w:rsidR="004A0394" w:rsidRDefault="00000000">
      <w:pPr>
        <w:pStyle w:val="Heading2"/>
      </w:pPr>
      <w:bookmarkStart w:id="18" w:name="Xc1366fca7716a7d4e53202375e212074c52006a"/>
      <w:bookmarkEnd w:id="17"/>
      <w:r>
        <w:t>Acknowledgement: Indigenous research leadership review required</w:t>
      </w:r>
    </w:p>
    <w:p w14:paraId="7B6A91AE" w14:textId="77777777" w:rsidR="004A0394" w:rsidRDefault="00000000">
      <w:pPr>
        <w:pStyle w:val="FirstParagraph"/>
      </w:pPr>
      <w:r>
        <w:t>Before any circulation beyond the immediate working group, this document must be reviewed by Indigenous research leadership. The seven categories as drafted reflect the conventions of Anglo-European creative-practice research traditions, with limited attention to Indigenous research methodologies, Indigenous knowledge systems, and the standing markers that operate within Indigenous creative-practice and research communities. This is a substantive limitation of the current draft, and it must be addressed before the document is circulated as a working instrument.</w:t>
      </w:r>
    </w:p>
    <w:p w14:paraId="4263AF2E" w14:textId="77777777" w:rsidR="004A0394" w:rsidRDefault="00000000">
      <w:pPr>
        <w:pStyle w:val="BodyText"/>
      </w:pPr>
      <w:r>
        <w:t>The Translation paper acknowledges this directly. The Glisovic and Batty (2026) DDCA recommendations identify Indigenous Knowledges as the first of seven priority areas, and the Reference Document must respect that ordering. Until Indigenous research leadership has reviewed and contributed to this draft, the document should be considered partial.</w:t>
      </w:r>
    </w:p>
    <w:p w14:paraId="05445201" w14:textId="77777777" w:rsidR="004A0394" w:rsidRDefault="00000000">
      <w:pPr>
        <w:pStyle w:val="Heading2"/>
      </w:pPr>
      <w:bookmarkStart w:id="19" w:name="co-authorship-signposted-future"/>
      <w:bookmarkEnd w:id="18"/>
      <w:r>
        <w:lastRenderedPageBreak/>
        <w:t>Co-authorship: signposted future</w:t>
      </w:r>
    </w:p>
    <w:p w14:paraId="290A9F1F" w14:textId="77777777" w:rsidR="004A0394" w:rsidRDefault="00000000">
      <w:pPr>
        <w:pStyle w:val="FirstParagraph"/>
      </w:pPr>
      <w:r>
        <w:t>The longer-term ambition for this document is that it should not remain authored by a single researcher in a single school. The categories it covers extend across many disciplines and many institutions. The natural co-authorship arrangement is one in which the peak bodies of the relevant disciplines (DDCA (Deans and Directors of Creative Arts), ACUADS (Australian Council of University Art and Design Schools), ASPERA (Australian Screen Production Education and Research Association), AAWP (Australasian Association of Writing Programs), IDEA (Innovative Design and Education Australasia), and equivalent peak bodies for performance, music, and design) contribute the disciplinary content for the categories that touch their fields.</w:t>
      </w:r>
    </w:p>
    <w:p w14:paraId="178728ED" w14:textId="77777777" w:rsidR="004A0394" w:rsidRDefault="00000000">
      <w:pPr>
        <w:pStyle w:val="BodyText"/>
      </w:pPr>
      <w:r>
        <w:t>The current draft is one researcher’s attempt to map the territory. The next iteration should be a coalition document. That coalition-building work is signposted here as the next phase, and the present draft should be read as an opening contribution to that conversation, not as a finished product.</w:t>
      </w:r>
    </w:p>
    <w:p w14:paraId="3739DC92" w14:textId="77777777" w:rsidR="004A0394" w:rsidRDefault="00000000">
      <w:pPr>
        <w:pStyle w:val="Heading2"/>
      </w:pPr>
      <w:bookmarkStart w:id="20" w:name="methodology"/>
      <w:bookmarkEnd w:id="19"/>
      <w:r>
        <w:t>Methodology</w:t>
      </w:r>
    </w:p>
    <w:p w14:paraId="41CFAA06" w14:textId="77777777" w:rsidR="004A0394" w:rsidRDefault="00000000">
      <w:pPr>
        <w:pStyle w:val="FirstParagraph"/>
      </w:pPr>
      <w:r>
        <w:t>The categories presented here were derived from three sources. First, the existing Sydney NTRO assessment process and the academic-evaluation framework against which it operates. Second, an analysis of NTRO assessment frameworks at Monash, RMIT, and Deakin, institutions that have developed substantial NTRO assessment practice, and at UNSW, ANU and Melbourne. Third, the documented sector literature on creative-practice research evaluation, particularly the recent work of Glisovic and Batty (2026), the foundational papers by Haseman (2006), Barrett and Bolt (2007), Smith and Dean (2009), and the McKee study on Australian Higher Education NTRO assessment criteria published in 2020.</w:t>
      </w:r>
    </w:p>
    <w:p w14:paraId="56BA91FA" w14:textId="77777777" w:rsidR="004A0394" w:rsidRDefault="00000000">
      <w:pPr>
        <w:pStyle w:val="BodyText"/>
      </w:pPr>
      <w:r>
        <w:t>The seven categories were tested against the body of work of a small number of senior researchers in visual arts, music, theatre and performance, and creative writing, to confirm that each category captures evidence types that are real and recognisable across disciplines. The categories are not exhaustive: they cover the principal forms of NTRO evidence but do not exhaust the field. A revised version of this document should be more capacious.</w:t>
      </w:r>
    </w:p>
    <w:p w14:paraId="4E7F0FF1" w14:textId="77777777" w:rsidR="004A0394" w:rsidRDefault="00000000">
      <w:pPr>
        <w:pStyle w:val="Heading1"/>
      </w:pPr>
      <w:bookmarkStart w:id="21" w:name="the-seven-categories"/>
      <w:bookmarkEnd w:id="14"/>
      <w:bookmarkEnd w:id="20"/>
      <w:r>
        <w:t>The seven categories</w:t>
      </w:r>
    </w:p>
    <w:p w14:paraId="7B936E82" w14:textId="77777777" w:rsidR="004A0394" w:rsidRDefault="00000000">
      <w:pPr>
        <w:pStyle w:val="FirstParagraph"/>
      </w:pPr>
      <w:r>
        <w:t>Each of the following categories is treated as a distinct evidence type. For each, the document provides a definition, a description of what constitutes evidence within the category, examples across multiple disciplines, considerations for the senior assessor, common failure modes, and a cross-reference to the institutional academic-evaluation framework’s quality questions.</w:t>
      </w:r>
    </w:p>
    <w:p w14:paraId="620368E3" w14:textId="77777777" w:rsidR="004A0394" w:rsidRDefault="00000000">
      <w:pPr>
        <w:pStyle w:val="Heading2"/>
      </w:pPr>
      <w:bookmarkStart w:id="22" w:name="category-1.-major-solo-exhibition"/>
      <w:r>
        <w:t>Category 1. Major solo exhibition</w:t>
      </w:r>
    </w:p>
    <w:p w14:paraId="37DBA974" w14:textId="77777777" w:rsidR="004A0394" w:rsidRDefault="00000000">
      <w:pPr>
        <w:pStyle w:val="Heading3"/>
      </w:pPr>
      <w:bookmarkStart w:id="23" w:name="definition"/>
      <w:r>
        <w:t>Definition</w:t>
      </w:r>
    </w:p>
    <w:p w14:paraId="01008A95" w14:textId="77777777" w:rsidR="004A0394" w:rsidRDefault="00000000">
      <w:pPr>
        <w:pStyle w:val="FirstParagraph"/>
      </w:pPr>
      <w:r>
        <w:t xml:space="preserve">A major solo exhibition is the single-author equivalent of a scholarly monograph. The researcher’s contribution is presented as a coherent body of work in a recognised </w:t>
      </w:r>
      <w:r>
        <w:lastRenderedPageBreak/>
        <w:t>institutional context, with substantive curatorial framing. The category covers visual arts solo exhibitions, individual performance seasons, single-author creative-writing publication launches treated as research events, and equivalents in other disciplines. The defining features are single authorship, institutional recognition of the venue, accompanying scholarly apparatus (catalogue essay, room sheet, didactic text), and a coherent argument that runs across the body of work presented.</w:t>
      </w:r>
    </w:p>
    <w:p w14:paraId="0CD11587" w14:textId="77777777" w:rsidR="004A0394" w:rsidRDefault="00000000">
      <w:pPr>
        <w:pStyle w:val="Heading3"/>
      </w:pPr>
      <w:bookmarkStart w:id="24" w:name="what-constitutes-evidence"/>
      <w:bookmarkEnd w:id="23"/>
      <w:r>
        <w:t>What constitutes evidence</w:t>
      </w:r>
    </w:p>
    <w:p w14:paraId="4C3393A4" w14:textId="77777777" w:rsidR="004A0394" w:rsidRDefault="00000000">
      <w:pPr>
        <w:numPr>
          <w:ilvl w:val="0"/>
          <w:numId w:val="2"/>
        </w:numPr>
      </w:pPr>
      <w:r>
        <w:t>Single-author exhibition or season in a recognised institution (state or national gallery, major contemporary art organisation, top-tier commercial gallery with curatorial program, major university gallery, major theatre or concert hall season)</w:t>
      </w:r>
    </w:p>
    <w:p w14:paraId="71B3D760" w14:textId="77777777" w:rsidR="004A0394" w:rsidRDefault="00000000">
      <w:pPr>
        <w:numPr>
          <w:ilvl w:val="0"/>
          <w:numId w:val="2"/>
        </w:numPr>
      </w:pPr>
      <w:r>
        <w:t>Substantive accompanying scholarly apparatus: catalogue essay by recognised curator or critic, room sheet, didactic text, programme notes, or equivalent</w:t>
      </w:r>
    </w:p>
    <w:p w14:paraId="1B5A6979" w14:textId="77777777" w:rsidR="004A0394" w:rsidRDefault="00000000">
      <w:pPr>
        <w:numPr>
          <w:ilvl w:val="0"/>
          <w:numId w:val="2"/>
        </w:numPr>
      </w:pPr>
      <w:r>
        <w:t>Coherent thematic or methodological argument across the body of work presented</w:t>
      </w:r>
    </w:p>
    <w:p w14:paraId="768D1A80" w14:textId="77777777" w:rsidR="004A0394" w:rsidRDefault="00000000">
      <w:pPr>
        <w:numPr>
          <w:ilvl w:val="0"/>
          <w:numId w:val="2"/>
        </w:numPr>
      </w:pPr>
      <w:r>
        <w:t>Documentation: photography, video, installation views, programme materials</w:t>
      </w:r>
    </w:p>
    <w:p w14:paraId="1E3E8EA6" w14:textId="77777777" w:rsidR="004A0394" w:rsidRDefault="00000000">
      <w:pPr>
        <w:numPr>
          <w:ilvl w:val="0"/>
          <w:numId w:val="2"/>
        </w:numPr>
      </w:pPr>
      <w:r>
        <w:t>Subsequent critical reception: reviews, essays, catalogue mentions in later contexts</w:t>
      </w:r>
    </w:p>
    <w:p w14:paraId="60F32A3A" w14:textId="77777777" w:rsidR="004A0394" w:rsidRDefault="00000000">
      <w:pPr>
        <w:pStyle w:val="Heading3"/>
      </w:pPr>
      <w:bookmarkStart w:id="25" w:name="examples-across-disciplines"/>
      <w:bookmarkEnd w:id="24"/>
      <w:r>
        <w:t>Examples across disciplines</w:t>
      </w:r>
    </w:p>
    <w:p w14:paraId="6BA7EE8D" w14:textId="77777777" w:rsidR="004A0394" w:rsidRDefault="00000000">
      <w:pPr>
        <w:numPr>
          <w:ilvl w:val="0"/>
          <w:numId w:val="3"/>
        </w:numPr>
      </w:pPr>
      <w:r>
        <w:rPr>
          <w:b/>
          <w:bCs/>
        </w:rPr>
        <w:t xml:space="preserve">Visual arts: </w:t>
      </w:r>
      <w:r>
        <w:t>solo exhibition at the Art Gallery of New South Wales, the Museum of Contemporary Art Australia, or the National Gallery of Australia; solo exhibition at a top-tier commercial gallery (Sullivan + Strumpf, Roslyn Oxley9, Tolarno) with accompanying catalogue and subsequent public-collection acquisition.</w:t>
      </w:r>
    </w:p>
    <w:p w14:paraId="24777E40" w14:textId="77777777" w:rsidR="004A0394" w:rsidRDefault="00000000">
      <w:pPr>
        <w:numPr>
          <w:ilvl w:val="0"/>
          <w:numId w:val="3"/>
        </w:numPr>
      </w:pPr>
      <w:r>
        <w:rPr>
          <w:b/>
          <w:bCs/>
        </w:rPr>
        <w:t xml:space="preserve">Music: </w:t>
      </w:r>
      <w:r>
        <w:t>single-composer season programmed by a major concert hall, opera company, or new-music ensemble, with accompanying programme notes and substantive scholarly apparatus.</w:t>
      </w:r>
    </w:p>
    <w:p w14:paraId="17332DCD" w14:textId="77777777" w:rsidR="004A0394" w:rsidRDefault="00000000">
      <w:pPr>
        <w:numPr>
          <w:ilvl w:val="0"/>
          <w:numId w:val="3"/>
        </w:numPr>
      </w:pPr>
      <w:r>
        <w:rPr>
          <w:b/>
          <w:bCs/>
        </w:rPr>
        <w:t xml:space="preserve">Theatre and performance: </w:t>
      </w:r>
      <w:r>
        <w:t>season of work by a single artist or company programmed by a major venue (Sydney Theatre Company, Belvoir, Malthouse, Performance Space) with accompanying season notes and critical framing.</w:t>
      </w:r>
    </w:p>
    <w:p w14:paraId="2170CF11" w14:textId="77777777" w:rsidR="004A0394" w:rsidRDefault="00000000">
      <w:pPr>
        <w:numPr>
          <w:ilvl w:val="0"/>
          <w:numId w:val="3"/>
        </w:numPr>
      </w:pPr>
      <w:r>
        <w:rPr>
          <w:b/>
          <w:bCs/>
        </w:rPr>
        <w:t xml:space="preserve">Creative writing: </w:t>
      </w:r>
      <w:r>
        <w:t>single-author monograph (novel, collection of poetry, collection of essays) published by a recognised press and accompanied by substantive critical reception.</w:t>
      </w:r>
    </w:p>
    <w:p w14:paraId="7FC47E7D" w14:textId="77777777" w:rsidR="004A0394" w:rsidRDefault="00000000">
      <w:pPr>
        <w:numPr>
          <w:ilvl w:val="0"/>
          <w:numId w:val="3"/>
        </w:numPr>
      </w:pPr>
      <w:r>
        <w:rPr>
          <w:b/>
          <w:bCs/>
        </w:rPr>
        <w:t xml:space="preserve">Screen: </w:t>
      </w:r>
      <w:r>
        <w:t>single-author feature film or documentary with festival premiere at a recognised international festival, accompanied by critical reception and director’s statement.</w:t>
      </w:r>
    </w:p>
    <w:p w14:paraId="30356DE8" w14:textId="77777777" w:rsidR="004A0394" w:rsidRDefault="00000000">
      <w:pPr>
        <w:pStyle w:val="Heading3"/>
      </w:pPr>
      <w:bookmarkStart w:id="26" w:name="what-the-senior-assessor-should-consider"/>
      <w:bookmarkEnd w:id="25"/>
      <w:r>
        <w:t>What the senior assessor should consider</w:t>
      </w:r>
    </w:p>
    <w:p w14:paraId="0CC637B9" w14:textId="77777777" w:rsidR="004A0394" w:rsidRDefault="00000000">
      <w:pPr>
        <w:numPr>
          <w:ilvl w:val="0"/>
          <w:numId w:val="4"/>
        </w:numPr>
      </w:pPr>
      <w:r>
        <w:t>The standing of the venue: does the venue’s curatorial program function as a substantive selection process, or is the venue a hire-only space? The peer-review-equivalent step happens in venue selection; venues without curatorial programs do not provide that step.</w:t>
      </w:r>
    </w:p>
    <w:p w14:paraId="2B5470E7" w14:textId="77777777" w:rsidR="004A0394" w:rsidRDefault="00000000">
      <w:pPr>
        <w:numPr>
          <w:ilvl w:val="0"/>
          <w:numId w:val="4"/>
        </w:numPr>
      </w:pPr>
      <w:r>
        <w:lastRenderedPageBreak/>
        <w:t>The scholarly apparatus accompanying the work: does the catalogue essay, programme note, or accompanying text engage substantively with the work’s research contribution, or is it descriptive only?</w:t>
      </w:r>
    </w:p>
    <w:p w14:paraId="617C0656" w14:textId="77777777" w:rsidR="004A0394" w:rsidRDefault="00000000">
      <w:pPr>
        <w:numPr>
          <w:ilvl w:val="0"/>
          <w:numId w:val="4"/>
        </w:numPr>
      </w:pPr>
      <w:r>
        <w:t>The coherence of the body of work presented: does the exhibition or season present a sustained argument, or is it a collection of unrelated works?</w:t>
      </w:r>
    </w:p>
    <w:p w14:paraId="6E0C08D3" w14:textId="77777777" w:rsidR="004A0394" w:rsidRDefault="00000000">
      <w:pPr>
        <w:numPr>
          <w:ilvl w:val="0"/>
          <w:numId w:val="4"/>
        </w:numPr>
      </w:pPr>
      <w:r>
        <w:t>The critical reception of the work: what writing has the exhibition generated, and where? Reviews in major arts press, scholarly essays in subsequent publications, references in other artists’ subsequent work all carry weight.</w:t>
      </w:r>
    </w:p>
    <w:p w14:paraId="5EBB82F5" w14:textId="77777777" w:rsidR="004A0394" w:rsidRDefault="00000000">
      <w:pPr>
        <w:numPr>
          <w:ilvl w:val="0"/>
          <w:numId w:val="4"/>
        </w:numPr>
      </w:pPr>
      <w:r>
        <w:t>The acquisitions and re-exhibitions that follow: does the work enter public collections, get re-exhibited in thematic surveys, or get cited in subsequent curatorial work?</w:t>
      </w:r>
    </w:p>
    <w:p w14:paraId="5A9BD807" w14:textId="77777777" w:rsidR="004A0394" w:rsidRDefault="00000000">
      <w:pPr>
        <w:pStyle w:val="Heading3"/>
      </w:pPr>
      <w:bookmarkStart w:id="27" w:name="common-failure-modes"/>
      <w:bookmarkEnd w:id="26"/>
      <w:r>
        <w:t>Common failure modes</w:t>
      </w:r>
    </w:p>
    <w:p w14:paraId="27BB7B62" w14:textId="77777777" w:rsidR="004A0394" w:rsidRDefault="00000000">
      <w:pPr>
        <w:numPr>
          <w:ilvl w:val="0"/>
          <w:numId w:val="5"/>
        </w:numPr>
      </w:pPr>
      <w:r>
        <w:t>Counting solo exhibitions without weighting the venue’s curatorial program. A hire-only space exhibition is not the same as a curatorially-programmed venue.</w:t>
      </w:r>
    </w:p>
    <w:p w14:paraId="5E791539" w14:textId="77777777" w:rsidR="004A0394" w:rsidRDefault="00000000">
      <w:pPr>
        <w:numPr>
          <w:ilvl w:val="0"/>
          <w:numId w:val="5"/>
        </w:numPr>
      </w:pPr>
      <w:r>
        <w:t>Reading ‘major’ as a venue label rather than as a contextual judgement. AGNSW is major; a regional gallery’s headline season may also be major in context.</w:t>
      </w:r>
    </w:p>
    <w:p w14:paraId="66301581" w14:textId="77777777" w:rsidR="004A0394" w:rsidRDefault="00000000">
      <w:pPr>
        <w:numPr>
          <w:ilvl w:val="0"/>
          <w:numId w:val="5"/>
        </w:numPr>
      </w:pPr>
      <w:r>
        <w:t>Failing to read across disciplines. Visual arts solo exhibition standing markers do not directly map to music, theatre, or screen, each discipline has its own equivalents.</w:t>
      </w:r>
    </w:p>
    <w:p w14:paraId="5DB5E1FC" w14:textId="77777777" w:rsidR="004A0394" w:rsidRDefault="00000000">
      <w:pPr>
        <w:numPr>
          <w:ilvl w:val="0"/>
          <w:numId w:val="5"/>
        </w:numPr>
      </w:pPr>
      <w:r>
        <w:t>Substituting volume for substance: five small shows do not equal one substantial solo exhibition in the same way that five small papers do not equal one substantial monograph.</w:t>
      </w:r>
    </w:p>
    <w:p w14:paraId="25AB5E82" w14:textId="77777777" w:rsidR="004A0394" w:rsidRDefault="00000000">
      <w:pPr>
        <w:pStyle w:val="Heading3"/>
      </w:pPr>
      <w:bookmarkStart w:id="28" w:name="X31dcce27e064230cf0c6f0f94c906e8acdef11b"/>
      <w:bookmarkEnd w:id="27"/>
      <w:r>
        <w:t>Cross-reference to academic-evaluation framework</w:t>
      </w:r>
    </w:p>
    <w:p w14:paraId="3A557286" w14:textId="77777777" w:rsidR="004A0394" w:rsidRDefault="00000000">
      <w:pPr>
        <w:pStyle w:val="FirstParagraph"/>
      </w:pPr>
      <w:r>
        <w:t>This category provides primary evidence for the framework’s questions of Contribution (does the body of work advance the field?), Reach (national or international?), and Standing (selected through competitive curatorial processes?). It provides supporting evidence for Rigour (the methodological coherence of the body of work).</w:t>
      </w:r>
    </w:p>
    <w:p w14:paraId="7B175B96" w14:textId="77777777" w:rsidR="004A0394" w:rsidRDefault="00000000">
      <w:pPr>
        <w:pStyle w:val="Heading2"/>
      </w:pPr>
      <w:bookmarkStart w:id="29" w:name="X37e741980979ba6236b7ba3b9253693641027d4"/>
      <w:bookmarkEnd w:id="22"/>
      <w:bookmarkEnd w:id="28"/>
      <w:r>
        <w:t>Category 2. Curatorial selection into a major group exhibition</w:t>
      </w:r>
    </w:p>
    <w:p w14:paraId="4A2192B0" w14:textId="77777777" w:rsidR="004A0394" w:rsidRDefault="00000000">
      <w:pPr>
        <w:pStyle w:val="Heading3"/>
      </w:pPr>
      <w:bookmarkStart w:id="30" w:name="definition-1"/>
      <w:r>
        <w:t>Definition</w:t>
      </w:r>
    </w:p>
    <w:p w14:paraId="050533E5" w14:textId="77777777" w:rsidR="004A0394" w:rsidRDefault="00000000">
      <w:pPr>
        <w:pStyle w:val="FirstParagraph"/>
      </w:pPr>
      <w:r>
        <w:t>Inclusion in a curated group exhibition where the curator is making a substantive selection from a wider field. Distinguishes from a solo exhibition by the curatorial framing: the work is read as part of the thematic argument the curator is making. Major group exhibitions include biennales, triennials, themed surveys at state museums, significant commissioning programs, and group seasons at major performance venues. The curator’s selection functions as the peer-review-equivalent step; the curatorial rationale is the framing scholarship.</w:t>
      </w:r>
    </w:p>
    <w:p w14:paraId="33A49662" w14:textId="77777777" w:rsidR="004A0394" w:rsidRDefault="00000000">
      <w:pPr>
        <w:pStyle w:val="Heading3"/>
      </w:pPr>
      <w:bookmarkStart w:id="31" w:name="what-constitutes-evidence-1"/>
      <w:bookmarkEnd w:id="30"/>
      <w:r>
        <w:t>What constitutes evidence</w:t>
      </w:r>
    </w:p>
    <w:p w14:paraId="4C29FE4D" w14:textId="77777777" w:rsidR="004A0394" w:rsidRDefault="00000000">
      <w:pPr>
        <w:numPr>
          <w:ilvl w:val="0"/>
          <w:numId w:val="6"/>
        </w:numPr>
      </w:pPr>
      <w:r>
        <w:t>Inclusion in a curated thematic exhibition, season, or program at a recognised institution</w:t>
      </w:r>
    </w:p>
    <w:p w14:paraId="020D9B81" w14:textId="77777777" w:rsidR="004A0394" w:rsidRDefault="00000000">
      <w:pPr>
        <w:numPr>
          <w:ilvl w:val="0"/>
          <w:numId w:val="6"/>
        </w:numPr>
      </w:pPr>
      <w:r>
        <w:lastRenderedPageBreak/>
        <w:t>Curatorial framing: the catalogue, programme, or curatorial text that positions the work within the show’s argument</w:t>
      </w:r>
    </w:p>
    <w:p w14:paraId="5F135AEF" w14:textId="77777777" w:rsidR="004A0394" w:rsidRDefault="00000000">
      <w:pPr>
        <w:numPr>
          <w:ilvl w:val="0"/>
          <w:numId w:val="6"/>
        </w:numPr>
      </w:pPr>
      <w:r>
        <w:t>Documentation of the work as installed, performed, or programmed in that context</w:t>
      </w:r>
    </w:p>
    <w:p w14:paraId="04947013" w14:textId="77777777" w:rsidR="004A0394" w:rsidRDefault="00000000">
      <w:pPr>
        <w:numPr>
          <w:ilvl w:val="0"/>
          <w:numId w:val="6"/>
        </w:numPr>
      </w:pPr>
      <w:r>
        <w:t>Subsequent reception: reviews, essays, and critical engagement with the show as a whole</w:t>
      </w:r>
    </w:p>
    <w:p w14:paraId="4D9C4CF0" w14:textId="77777777" w:rsidR="004A0394" w:rsidRDefault="00000000">
      <w:pPr>
        <w:pStyle w:val="Heading3"/>
      </w:pPr>
      <w:bookmarkStart w:id="32" w:name="examples-across-disciplines-1"/>
      <w:bookmarkEnd w:id="31"/>
      <w:r>
        <w:t>Examples across disciplines</w:t>
      </w:r>
    </w:p>
    <w:p w14:paraId="00406A55" w14:textId="77777777" w:rsidR="004A0394" w:rsidRDefault="00000000">
      <w:pPr>
        <w:numPr>
          <w:ilvl w:val="0"/>
          <w:numId w:val="7"/>
        </w:numPr>
      </w:pPr>
      <w:r>
        <w:rPr>
          <w:b/>
          <w:bCs/>
        </w:rPr>
        <w:t xml:space="preserve">Visual arts: </w:t>
      </w:r>
      <w:r>
        <w:t>inclusion in the Sydney Biennale, Asia Pacific Triennial, Adelaide Biennial, NGV Triennial, or a substantial themed survey at a state museum with significant accompanying catalogue.</w:t>
      </w:r>
    </w:p>
    <w:p w14:paraId="423BFBDF" w14:textId="77777777" w:rsidR="004A0394" w:rsidRDefault="00000000">
      <w:pPr>
        <w:numPr>
          <w:ilvl w:val="0"/>
          <w:numId w:val="7"/>
        </w:numPr>
      </w:pPr>
      <w:r>
        <w:rPr>
          <w:b/>
          <w:bCs/>
        </w:rPr>
        <w:t xml:space="preserve">Music: </w:t>
      </w:r>
      <w:r>
        <w:t>inclusion in a curated festival of new music (Bendigo International Festival of Exploratory Music, MONA’s Mona Foma, Liquid Architecture), or a state-orchestra-commissioned themed program.</w:t>
      </w:r>
    </w:p>
    <w:p w14:paraId="123A6E50" w14:textId="77777777" w:rsidR="004A0394" w:rsidRDefault="00000000">
      <w:pPr>
        <w:numPr>
          <w:ilvl w:val="0"/>
          <w:numId w:val="7"/>
        </w:numPr>
      </w:pPr>
      <w:r>
        <w:rPr>
          <w:b/>
          <w:bCs/>
        </w:rPr>
        <w:t xml:space="preserve">Theatre and performance: </w:t>
      </w:r>
      <w:r>
        <w:t>selection into a curated festival program (Sydney Festival, Melbourne International Arts Festival, Brisbane Festival, Dark Mofo) with substantial curatorial framing.</w:t>
      </w:r>
    </w:p>
    <w:p w14:paraId="66A69BD2" w14:textId="77777777" w:rsidR="004A0394" w:rsidRDefault="00000000">
      <w:pPr>
        <w:numPr>
          <w:ilvl w:val="0"/>
          <w:numId w:val="7"/>
        </w:numPr>
      </w:pPr>
      <w:r>
        <w:rPr>
          <w:b/>
          <w:bCs/>
        </w:rPr>
        <w:t xml:space="preserve">Creative writing: </w:t>
      </w:r>
      <w:r>
        <w:t>inclusion in a curated anthology with substantive editorial framing, or in a themed literary-journal special issue with guest-editor selection.</w:t>
      </w:r>
    </w:p>
    <w:p w14:paraId="20B4C04D" w14:textId="77777777" w:rsidR="004A0394" w:rsidRDefault="00000000">
      <w:pPr>
        <w:numPr>
          <w:ilvl w:val="0"/>
          <w:numId w:val="7"/>
        </w:numPr>
      </w:pPr>
      <w:r>
        <w:rPr>
          <w:b/>
          <w:bCs/>
        </w:rPr>
        <w:t xml:space="preserve">Screen: </w:t>
      </w:r>
      <w:r>
        <w:t>inclusion in a curated film festival program with substantive curatorial framing (Berlinale Forum, Locarno, Rotterdam, Sydney Film Festival’s curated strands).</w:t>
      </w:r>
    </w:p>
    <w:p w14:paraId="51420ADC" w14:textId="77777777" w:rsidR="004A0394" w:rsidRDefault="00000000">
      <w:pPr>
        <w:pStyle w:val="Heading3"/>
      </w:pPr>
      <w:bookmarkStart w:id="33" w:name="X821339108b4a46ad4b9c32d18c917670a181733"/>
      <w:bookmarkEnd w:id="32"/>
      <w:r>
        <w:t>What the senior assessor should consider</w:t>
      </w:r>
    </w:p>
    <w:p w14:paraId="6DA77F4C" w14:textId="77777777" w:rsidR="004A0394" w:rsidRDefault="00000000">
      <w:pPr>
        <w:numPr>
          <w:ilvl w:val="0"/>
          <w:numId w:val="8"/>
        </w:numPr>
      </w:pPr>
      <w:r>
        <w:t>The standing of the curator and the curatorial argument. Some curated shows function as substantive intellectual events; others are more conventional.</w:t>
      </w:r>
    </w:p>
    <w:p w14:paraId="4DCB7D98" w14:textId="77777777" w:rsidR="004A0394" w:rsidRDefault="00000000">
      <w:pPr>
        <w:numPr>
          <w:ilvl w:val="0"/>
          <w:numId w:val="8"/>
        </w:numPr>
      </w:pPr>
      <w:r>
        <w:t>The selection process by which the artist or work was chosen: was the selection competitive? Was the curator drawing on a documented pool? What was the rationale?</w:t>
      </w:r>
    </w:p>
    <w:p w14:paraId="129E1B25" w14:textId="77777777" w:rsidR="004A0394" w:rsidRDefault="00000000">
      <w:pPr>
        <w:numPr>
          <w:ilvl w:val="0"/>
          <w:numId w:val="8"/>
        </w:numPr>
      </w:pPr>
      <w:r>
        <w:t>The scholarly apparatus around the show: does the catalogue carry substantive essays? Has the show been written about subsequently?</w:t>
      </w:r>
    </w:p>
    <w:p w14:paraId="568415A2" w14:textId="77777777" w:rsidR="004A0394" w:rsidRDefault="00000000">
      <w:pPr>
        <w:numPr>
          <w:ilvl w:val="0"/>
          <w:numId w:val="8"/>
        </w:numPr>
      </w:pPr>
      <w:r>
        <w:t>Whether the work was commissioned specifically for the show, or selected from existing practice. Both count, but they read differently: commissioning carries additional methodological weight.</w:t>
      </w:r>
    </w:p>
    <w:p w14:paraId="243ED4B9" w14:textId="77777777" w:rsidR="004A0394" w:rsidRDefault="00000000">
      <w:pPr>
        <w:pStyle w:val="Heading3"/>
      </w:pPr>
      <w:bookmarkStart w:id="34" w:name="common-failure-modes-1"/>
      <w:bookmarkEnd w:id="33"/>
      <w:r>
        <w:t>Common failure modes</w:t>
      </w:r>
    </w:p>
    <w:p w14:paraId="19739420" w14:textId="77777777" w:rsidR="004A0394" w:rsidRDefault="00000000">
      <w:pPr>
        <w:numPr>
          <w:ilvl w:val="0"/>
          <w:numId w:val="9"/>
        </w:numPr>
      </w:pPr>
      <w:r>
        <w:t>Treating all group exhibitions as equivalent. The standing of the curator and the venue matters; a biennale inclusion differs from a regional thematic group show.</w:t>
      </w:r>
    </w:p>
    <w:p w14:paraId="02065E14" w14:textId="77777777" w:rsidR="004A0394" w:rsidRDefault="00000000">
      <w:pPr>
        <w:numPr>
          <w:ilvl w:val="0"/>
          <w:numId w:val="9"/>
        </w:numPr>
      </w:pPr>
      <w:r>
        <w:t>Confusing inclusion with curation. Being selected into a group show is evidence of standing; curating one is a separate kind of intellectual contribution and should be assessed differently.</w:t>
      </w:r>
    </w:p>
    <w:p w14:paraId="4953DF8F" w14:textId="77777777" w:rsidR="004A0394" w:rsidRDefault="00000000">
      <w:pPr>
        <w:numPr>
          <w:ilvl w:val="0"/>
          <w:numId w:val="9"/>
        </w:numPr>
      </w:pPr>
      <w:r>
        <w:lastRenderedPageBreak/>
        <w:t>Failing to weight the curatorial argument. A show with a substantive curatorial thesis carries different weight from one that aggregates work without an argument.</w:t>
      </w:r>
    </w:p>
    <w:p w14:paraId="31B456EE" w14:textId="77777777" w:rsidR="004A0394" w:rsidRDefault="00000000">
      <w:pPr>
        <w:pStyle w:val="Heading3"/>
      </w:pPr>
      <w:bookmarkStart w:id="35" w:name="Xc18b81e97829e6193bc2d6d7774d4d80f44c367"/>
      <w:bookmarkEnd w:id="34"/>
      <w:r>
        <w:t>Cross-reference to academic-evaluation framework</w:t>
      </w:r>
    </w:p>
    <w:p w14:paraId="6E77BB1B" w14:textId="77777777" w:rsidR="004A0394" w:rsidRDefault="00000000">
      <w:pPr>
        <w:pStyle w:val="FirstParagraph"/>
      </w:pPr>
      <w:r>
        <w:t>Contribution and Reach are the primary framework questions here. Standing is read through the venue, the curator, and the selection process.</w:t>
      </w:r>
    </w:p>
    <w:p w14:paraId="0251E210" w14:textId="77777777" w:rsidR="004A0394" w:rsidRDefault="00000000">
      <w:pPr>
        <w:pStyle w:val="Heading2"/>
      </w:pPr>
      <w:bookmarkStart w:id="36" w:name="category-3.-competitive-commissioning"/>
      <w:bookmarkEnd w:id="29"/>
      <w:bookmarkEnd w:id="35"/>
      <w:r>
        <w:t>Category 3. Competitive commissioning</w:t>
      </w:r>
    </w:p>
    <w:p w14:paraId="1A5A3ED4" w14:textId="77777777" w:rsidR="004A0394" w:rsidRDefault="00000000">
      <w:pPr>
        <w:pStyle w:val="Heading3"/>
      </w:pPr>
      <w:bookmarkStart w:id="37" w:name="definition-2"/>
      <w:r>
        <w:t>Definition</w:t>
      </w:r>
    </w:p>
    <w:p w14:paraId="13291BA5" w14:textId="77777777" w:rsidR="004A0394" w:rsidRDefault="00000000">
      <w:pPr>
        <w:pStyle w:val="FirstParagraph"/>
      </w:pPr>
      <w:r>
        <w:t>A commissioned creative work where the selection process involved competitive shortlisting from a wider field, expert panel selection, and a brief or rationale that frames the work’s research contribution. Distinguishes from direct commission by the competitive selection process. Most major public art commissions, council percent-for-art programs, festival commissioning programs, and significant performance-commissioning bodies operate through competitive selection. The competitive selection is the peer-review-equivalent step.</w:t>
      </w:r>
    </w:p>
    <w:p w14:paraId="2B163E24" w14:textId="77777777" w:rsidR="004A0394" w:rsidRDefault="00000000">
      <w:pPr>
        <w:pStyle w:val="Heading3"/>
      </w:pPr>
      <w:bookmarkStart w:id="38" w:name="what-constitutes-evidence-2"/>
      <w:bookmarkEnd w:id="37"/>
      <w:r>
        <w:t>What constitutes evidence</w:t>
      </w:r>
    </w:p>
    <w:p w14:paraId="0F5AC392" w14:textId="77777777" w:rsidR="004A0394" w:rsidRDefault="00000000">
      <w:pPr>
        <w:numPr>
          <w:ilvl w:val="0"/>
          <w:numId w:val="10"/>
        </w:numPr>
      </w:pPr>
      <w:r>
        <w:t>Documentation of the competitive process: expressions of interest, shortlisting, expert panel selection</w:t>
      </w:r>
    </w:p>
    <w:p w14:paraId="280D7F5F" w14:textId="77777777" w:rsidR="004A0394" w:rsidRDefault="00000000">
      <w:pPr>
        <w:numPr>
          <w:ilvl w:val="0"/>
          <w:numId w:val="10"/>
        </w:numPr>
      </w:pPr>
      <w:r>
        <w:t>The commissioning brief or rationale that frames the work’s contribution</w:t>
      </w:r>
    </w:p>
    <w:p w14:paraId="28DC365B" w14:textId="77777777" w:rsidR="004A0394" w:rsidRDefault="00000000">
      <w:pPr>
        <w:numPr>
          <w:ilvl w:val="0"/>
          <w:numId w:val="10"/>
        </w:numPr>
      </w:pPr>
      <w:r>
        <w:t>The completed work itself, with documentation</w:t>
      </w:r>
    </w:p>
    <w:p w14:paraId="231E088B" w14:textId="77777777" w:rsidR="004A0394" w:rsidRDefault="00000000">
      <w:pPr>
        <w:numPr>
          <w:ilvl w:val="0"/>
          <w:numId w:val="10"/>
        </w:numPr>
      </w:pPr>
      <w:r>
        <w:t>Post-completion critical reception</w:t>
      </w:r>
    </w:p>
    <w:p w14:paraId="523A7AE9" w14:textId="77777777" w:rsidR="004A0394" w:rsidRDefault="00000000">
      <w:pPr>
        <w:numPr>
          <w:ilvl w:val="0"/>
          <w:numId w:val="10"/>
        </w:numPr>
      </w:pPr>
      <w:r>
        <w:t>Any subsequent exhibition, performance, broadcast, or publication of the commissioned work</w:t>
      </w:r>
    </w:p>
    <w:p w14:paraId="288A2240" w14:textId="77777777" w:rsidR="004A0394" w:rsidRDefault="00000000">
      <w:pPr>
        <w:pStyle w:val="Heading3"/>
      </w:pPr>
      <w:bookmarkStart w:id="39" w:name="examples-across-disciplines-2"/>
      <w:bookmarkEnd w:id="38"/>
      <w:r>
        <w:t>Examples across disciplines</w:t>
      </w:r>
    </w:p>
    <w:p w14:paraId="5650B06A" w14:textId="77777777" w:rsidR="004A0394" w:rsidRDefault="00000000">
      <w:pPr>
        <w:numPr>
          <w:ilvl w:val="0"/>
          <w:numId w:val="11"/>
        </w:numPr>
      </w:pPr>
      <w:r>
        <w:rPr>
          <w:b/>
          <w:bCs/>
        </w:rPr>
        <w:t xml:space="preserve">Visual arts: </w:t>
      </w:r>
      <w:r>
        <w:t>City of Sydney percent-for-art commission; major state cultural precinct commission; foundation-funded large-scale public artwork (Sherman Centre for Culture and Ideas, Naomi Milgrom Foundation); federally-funded national commission.</w:t>
      </w:r>
    </w:p>
    <w:p w14:paraId="708CB111" w14:textId="77777777" w:rsidR="004A0394" w:rsidRDefault="00000000">
      <w:pPr>
        <w:numPr>
          <w:ilvl w:val="0"/>
          <w:numId w:val="11"/>
        </w:numPr>
      </w:pPr>
      <w:r>
        <w:rPr>
          <w:b/>
          <w:bCs/>
        </w:rPr>
        <w:t xml:space="preserve">Music: </w:t>
      </w:r>
      <w:r>
        <w:t>commissioned composition for a major orchestra, opera company, or new-music ensemble through a competitive commissioning program (Sydney Symphony Composer-in-Residence, Australian National Academy of Music).</w:t>
      </w:r>
    </w:p>
    <w:p w14:paraId="6071BBDB" w14:textId="77777777" w:rsidR="004A0394" w:rsidRDefault="00000000">
      <w:pPr>
        <w:numPr>
          <w:ilvl w:val="0"/>
          <w:numId w:val="11"/>
        </w:numPr>
      </w:pPr>
      <w:r>
        <w:rPr>
          <w:b/>
          <w:bCs/>
        </w:rPr>
        <w:t xml:space="preserve">Theatre and performance: </w:t>
      </w:r>
      <w:r>
        <w:t>commissioned new work for a major company through a competitive commissioning program (Sydney Theatre Company, Belvoir, Performance Space, ACMI).</w:t>
      </w:r>
    </w:p>
    <w:p w14:paraId="0640A2F1" w14:textId="77777777" w:rsidR="004A0394" w:rsidRDefault="00000000">
      <w:pPr>
        <w:numPr>
          <w:ilvl w:val="0"/>
          <w:numId w:val="11"/>
        </w:numPr>
      </w:pPr>
      <w:r>
        <w:rPr>
          <w:b/>
          <w:bCs/>
        </w:rPr>
        <w:t xml:space="preserve">Creative writing: </w:t>
      </w:r>
      <w:r>
        <w:t>competitively-awarded commissioned work for a major publisher, festival, or institutional patron.</w:t>
      </w:r>
    </w:p>
    <w:p w14:paraId="78B7BDFB" w14:textId="77777777" w:rsidR="004A0394" w:rsidRDefault="00000000">
      <w:pPr>
        <w:numPr>
          <w:ilvl w:val="0"/>
          <w:numId w:val="11"/>
        </w:numPr>
      </w:pPr>
      <w:r>
        <w:rPr>
          <w:b/>
          <w:bCs/>
        </w:rPr>
        <w:t xml:space="preserve">Screen: </w:t>
      </w:r>
      <w:r>
        <w:t>competitively-awarded film or screen-work commission through Screen Australia, state screen agencies, or competitive festival commissioning programs.</w:t>
      </w:r>
    </w:p>
    <w:p w14:paraId="3C003C7F" w14:textId="77777777" w:rsidR="004A0394" w:rsidRDefault="00000000">
      <w:pPr>
        <w:pStyle w:val="Heading3"/>
      </w:pPr>
      <w:bookmarkStart w:id="40" w:name="Xa2a7a7c552d580ee823286c93ece8581ba9a94c"/>
      <w:bookmarkEnd w:id="39"/>
      <w:r>
        <w:lastRenderedPageBreak/>
        <w:t>What the senior assessor should consider</w:t>
      </w:r>
    </w:p>
    <w:p w14:paraId="701DA6C8" w14:textId="77777777" w:rsidR="004A0394" w:rsidRDefault="00000000">
      <w:pPr>
        <w:numPr>
          <w:ilvl w:val="0"/>
          <w:numId w:val="12"/>
        </w:numPr>
      </w:pPr>
      <w:r>
        <w:t>The standing of the commissioning body: federal agencies, major state institutions, top-tier festivals, major foundations differ in standing.</w:t>
      </w:r>
    </w:p>
    <w:p w14:paraId="3C942DE8" w14:textId="77777777" w:rsidR="004A0394" w:rsidRDefault="00000000">
      <w:pPr>
        <w:numPr>
          <w:ilvl w:val="0"/>
          <w:numId w:val="12"/>
        </w:numPr>
      </w:pPr>
      <w:r>
        <w:t>The competitiveness of the selection process: how many applicants? Who sat on the expert panel? What was the selection process?</w:t>
      </w:r>
    </w:p>
    <w:p w14:paraId="1BB202A9" w14:textId="77777777" w:rsidR="004A0394" w:rsidRDefault="00000000">
      <w:pPr>
        <w:numPr>
          <w:ilvl w:val="0"/>
          <w:numId w:val="12"/>
        </w:numPr>
      </w:pPr>
      <w:r>
        <w:t>The brief’s framing of research contribution: strong commissioning briefs frame the work as research contribution; weaker briefs treat the work as decorative or functional, and the scholarly framing must be argued for retrospectively.</w:t>
      </w:r>
    </w:p>
    <w:p w14:paraId="171CDE05" w14:textId="77777777" w:rsidR="004A0394" w:rsidRDefault="00000000">
      <w:pPr>
        <w:numPr>
          <w:ilvl w:val="0"/>
          <w:numId w:val="12"/>
        </w:numPr>
      </w:pPr>
      <w:r>
        <w:t>The completed work’s reception: has the work been written about, re-exhibited, re-performed, or referenced in subsequent practice?</w:t>
      </w:r>
    </w:p>
    <w:p w14:paraId="497E2A60" w14:textId="77777777" w:rsidR="004A0394" w:rsidRDefault="00000000">
      <w:pPr>
        <w:pStyle w:val="Heading3"/>
      </w:pPr>
      <w:bookmarkStart w:id="41" w:name="common-failure-modes-2"/>
      <w:bookmarkEnd w:id="40"/>
      <w:r>
        <w:t>Common failure modes</w:t>
      </w:r>
    </w:p>
    <w:p w14:paraId="082C866F" w14:textId="77777777" w:rsidR="004A0394" w:rsidRDefault="00000000">
      <w:pPr>
        <w:numPr>
          <w:ilvl w:val="0"/>
          <w:numId w:val="13"/>
        </w:numPr>
      </w:pPr>
      <w:r>
        <w:t>Reading commissioning as commercial work rather than research. Where the commissioning brief frames a research contribution and the selection is competitive, this is research evidence, not commercial activity.</w:t>
      </w:r>
    </w:p>
    <w:p w14:paraId="2F2E16D5" w14:textId="77777777" w:rsidR="004A0394" w:rsidRDefault="00000000">
      <w:pPr>
        <w:numPr>
          <w:ilvl w:val="0"/>
          <w:numId w:val="13"/>
        </w:numPr>
      </w:pPr>
      <w:r>
        <w:t>Failing to weight the competitive process. A commission resulting from open competitive selection differs from a direct invitation.</w:t>
      </w:r>
    </w:p>
    <w:p w14:paraId="162EC04C" w14:textId="77777777" w:rsidR="004A0394" w:rsidRDefault="00000000">
      <w:pPr>
        <w:numPr>
          <w:ilvl w:val="0"/>
          <w:numId w:val="13"/>
        </w:numPr>
      </w:pPr>
      <w:r>
        <w:t>Counting income without reading the commissioning context. The category 2 or category 3 income flows through this category but it is the commission’s standing as research that matters here, not its monetary value.</w:t>
      </w:r>
    </w:p>
    <w:p w14:paraId="1A93F210" w14:textId="77777777" w:rsidR="004A0394" w:rsidRDefault="00000000">
      <w:pPr>
        <w:pStyle w:val="Heading3"/>
      </w:pPr>
      <w:bookmarkStart w:id="42" w:name="X3005972a72af8e578c261361395932302e88fda"/>
      <w:bookmarkEnd w:id="41"/>
      <w:r>
        <w:t>Cross-reference to academic-evaluation framework</w:t>
      </w:r>
    </w:p>
    <w:p w14:paraId="38BA0A1C" w14:textId="77777777" w:rsidR="004A0394" w:rsidRDefault="00000000">
      <w:pPr>
        <w:pStyle w:val="FirstParagraph"/>
      </w:pPr>
      <w:r>
        <w:t>Standing is the primary framework question: the competitive selection process is the peer-review-equivalent step. Contribution and Reach follow from the commissioning body’s stature and the work’s subsequent reception.</w:t>
      </w:r>
    </w:p>
    <w:p w14:paraId="542293C9" w14:textId="77777777" w:rsidR="004A0394" w:rsidRDefault="00000000">
      <w:pPr>
        <w:pStyle w:val="Heading2"/>
      </w:pPr>
      <w:bookmarkStart w:id="43" w:name="category-4.-institutional-acquisition"/>
      <w:bookmarkEnd w:id="36"/>
      <w:bookmarkEnd w:id="42"/>
      <w:r>
        <w:t>Category 4. Institutional acquisition</w:t>
      </w:r>
    </w:p>
    <w:p w14:paraId="4D8C6806" w14:textId="77777777" w:rsidR="004A0394" w:rsidRDefault="00000000">
      <w:pPr>
        <w:pStyle w:val="Heading3"/>
      </w:pPr>
      <w:bookmarkStart w:id="44" w:name="definition-3"/>
      <w:r>
        <w:t>Definition</w:t>
      </w:r>
    </w:p>
    <w:p w14:paraId="1E7F9E80" w14:textId="77777777" w:rsidR="004A0394" w:rsidRDefault="00000000">
      <w:pPr>
        <w:pStyle w:val="FirstParagraph"/>
      </w:pPr>
      <w:r>
        <w:t>Acquisition of a work by a recognised public collecting institution: state gallery, national gallery, major university collection, significant international collection. The acquisition committee’s selection is itself a form of peer review and institutional impact assessment. Acquisition by a major public collection is one of the strongest standing markers in visual arts; equivalents exist in screen (national film and sound archive acquisitions), music (national library audio archives), and literature (national library archive holdings of authors’ papers).</w:t>
      </w:r>
    </w:p>
    <w:p w14:paraId="20F052B1" w14:textId="77777777" w:rsidR="004A0394" w:rsidRDefault="00000000">
      <w:pPr>
        <w:pStyle w:val="Heading3"/>
      </w:pPr>
      <w:bookmarkStart w:id="45" w:name="what-constitutes-evidence-3"/>
      <w:bookmarkEnd w:id="44"/>
      <w:r>
        <w:t>What constitutes evidence</w:t>
      </w:r>
    </w:p>
    <w:p w14:paraId="3EA12100" w14:textId="77777777" w:rsidR="004A0394" w:rsidRDefault="00000000">
      <w:pPr>
        <w:numPr>
          <w:ilvl w:val="0"/>
          <w:numId w:val="14"/>
        </w:numPr>
      </w:pPr>
      <w:r>
        <w:t>Acquisition record from the collecting institution</w:t>
      </w:r>
    </w:p>
    <w:p w14:paraId="467BC887" w14:textId="77777777" w:rsidR="004A0394" w:rsidRDefault="00000000">
      <w:pPr>
        <w:numPr>
          <w:ilvl w:val="0"/>
          <w:numId w:val="14"/>
        </w:numPr>
      </w:pPr>
      <w:r>
        <w:t>The acquisition rationale or curatorial statement that frames the work’s significance to the collection</w:t>
      </w:r>
    </w:p>
    <w:p w14:paraId="15C8C07B" w14:textId="77777777" w:rsidR="004A0394" w:rsidRDefault="00000000">
      <w:pPr>
        <w:numPr>
          <w:ilvl w:val="0"/>
          <w:numId w:val="14"/>
        </w:numPr>
      </w:pPr>
      <w:r>
        <w:t>Documentation of the work as held in the collection</w:t>
      </w:r>
    </w:p>
    <w:p w14:paraId="518CF591" w14:textId="77777777" w:rsidR="004A0394" w:rsidRDefault="00000000">
      <w:pPr>
        <w:numPr>
          <w:ilvl w:val="0"/>
          <w:numId w:val="14"/>
        </w:numPr>
      </w:pPr>
      <w:r>
        <w:lastRenderedPageBreak/>
        <w:t>Any subsequent re-exhibition, citation, or use of the work from within the collection</w:t>
      </w:r>
    </w:p>
    <w:p w14:paraId="27B58F13" w14:textId="77777777" w:rsidR="004A0394" w:rsidRDefault="00000000">
      <w:pPr>
        <w:numPr>
          <w:ilvl w:val="0"/>
          <w:numId w:val="14"/>
        </w:numPr>
      </w:pPr>
      <w:r>
        <w:t>The conservation and archival arrangements made for the work (these are institutional commitments that carry standing weight)</w:t>
      </w:r>
    </w:p>
    <w:p w14:paraId="7B3E85BE" w14:textId="77777777" w:rsidR="004A0394" w:rsidRDefault="00000000">
      <w:pPr>
        <w:pStyle w:val="Heading3"/>
      </w:pPr>
      <w:bookmarkStart w:id="46" w:name="examples-across-disciplines-3"/>
      <w:bookmarkEnd w:id="45"/>
      <w:r>
        <w:t>Examples across disciplines</w:t>
      </w:r>
    </w:p>
    <w:p w14:paraId="289DD2EB" w14:textId="77777777" w:rsidR="004A0394" w:rsidRDefault="00000000">
      <w:pPr>
        <w:numPr>
          <w:ilvl w:val="0"/>
          <w:numId w:val="15"/>
        </w:numPr>
      </w:pPr>
      <w:r>
        <w:rPr>
          <w:b/>
          <w:bCs/>
        </w:rPr>
        <w:t xml:space="preserve">Visual arts: </w:t>
      </w:r>
      <w:r>
        <w:t>acquisition by Art Gallery of New South Wales, National Gallery of Australia, Museum of Contemporary Art, state galleries; acquisition by major international institutional collections (Tate, Museum of Modern Art New York, Pompidou, Guggenheim); significant private museum acquisitions (Mona, Kaldor Public Art Projects).</w:t>
      </w:r>
    </w:p>
    <w:p w14:paraId="49B155D1" w14:textId="77777777" w:rsidR="004A0394" w:rsidRDefault="00000000">
      <w:pPr>
        <w:numPr>
          <w:ilvl w:val="0"/>
          <w:numId w:val="15"/>
        </w:numPr>
      </w:pPr>
      <w:r>
        <w:rPr>
          <w:b/>
          <w:bCs/>
        </w:rPr>
        <w:t xml:space="preserve">Screen: </w:t>
      </w:r>
      <w:r>
        <w:t>acquisition into the National Film and Sound Archive collection; acquisition by international screen archives.</w:t>
      </w:r>
    </w:p>
    <w:p w14:paraId="3336019A" w14:textId="77777777" w:rsidR="004A0394" w:rsidRDefault="00000000">
      <w:pPr>
        <w:numPr>
          <w:ilvl w:val="0"/>
          <w:numId w:val="15"/>
        </w:numPr>
      </w:pPr>
      <w:r>
        <w:rPr>
          <w:b/>
          <w:bCs/>
        </w:rPr>
        <w:t xml:space="preserve">Music: </w:t>
      </w:r>
      <w:r>
        <w:t>acquisition of scores or recordings into national music archives; long-term repertoire inclusion by major orchestras and ensembles.</w:t>
      </w:r>
    </w:p>
    <w:p w14:paraId="39E84025" w14:textId="77777777" w:rsidR="004A0394" w:rsidRDefault="00000000">
      <w:pPr>
        <w:numPr>
          <w:ilvl w:val="0"/>
          <w:numId w:val="15"/>
        </w:numPr>
      </w:pPr>
      <w:r>
        <w:rPr>
          <w:b/>
          <w:bCs/>
        </w:rPr>
        <w:t xml:space="preserve">Literature: </w:t>
      </w:r>
      <w:r>
        <w:t>acquisition of authors’ papers by national or state libraries; inclusion in significant literary archive holdings.</w:t>
      </w:r>
    </w:p>
    <w:p w14:paraId="1DF1A50F" w14:textId="77777777" w:rsidR="004A0394" w:rsidRDefault="00000000">
      <w:pPr>
        <w:pStyle w:val="Heading3"/>
      </w:pPr>
      <w:bookmarkStart w:id="47" w:name="X2c9016a3900c6d9df1272fe9ab4ac3ec009322a"/>
      <w:bookmarkEnd w:id="46"/>
      <w:r>
        <w:t>What the senior assessor should consider</w:t>
      </w:r>
    </w:p>
    <w:p w14:paraId="5A55ED37" w14:textId="77777777" w:rsidR="004A0394" w:rsidRDefault="00000000">
      <w:pPr>
        <w:numPr>
          <w:ilvl w:val="0"/>
          <w:numId w:val="16"/>
        </w:numPr>
      </w:pPr>
      <w:r>
        <w:t>The standing of the acquiring institution: state and national institutions differ from regional galleries; private museum collections vary in scholarly weight.</w:t>
      </w:r>
    </w:p>
    <w:p w14:paraId="2D7A3CBC" w14:textId="77777777" w:rsidR="004A0394" w:rsidRDefault="00000000">
      <w:pPr>
        <w:numPr>
          <w:ilvl w:val="0"/>
          <w:numId w:val="16"/>
        </w:numPr>
      </w:pPr>
      <w:r>
        <w:t>The acquisition rationale: was the work acquired through formal curatorial recommendation and acquisition committee process, or by gift?</w:t>
      </w:r>
    </w:p>
    <w:p w14:paraId="4578C566" w14:textId="77777777" w:rsidR="004A0394" w:rsidRDefault="00000000">
      <w:pPr>
        <w:numPr>
          <w:ilvl w:val="0"/>
          <w:numId w:val="16"/>
        </w:numPr>
      </w:pPr>
      <w:r>
        <w:t>Subsequent use of the work within the collection: re-exhibition, citation in subsequent curatorial work, reproduction in catalogue publications all indicate that the acquisition continues to do scholarly work.</w:t>
      </w:r>
    </w:p>
    <w:p w14:paraId="4539B05F" w14:textId="77777777" w:rsidR="004A0394" w:rsidRDefault="00000000">
      <w:pPr>
        <w:numPr>
          <w:ilvl w:val="0"/>
          <w:numId w:val="16"/>
        </w:numPr>
      </w:pPr>
      <w:r>
        <w:t>The conservation and archival commitments made for the work: institutional commitments that signal the institution’s reading of the work’s longevity.</w:t>
      </w:r>
    </w:p>
    <w:p w14:paraId="51300FF1" w14:textId="77777777" w:rsidR="004A0394" w:rsidRDefault="00000000">
      <w:pPr>
        <w:pStyle w:val="Heading3"/>
      </w:pPr>
      <w:bookmarkStart w:id="48" w:name="common-failure-modes-3"/>
      <w:bookmarkEnd w:id="47"/>
      <w:r>
        <w:t>Common failure modes</w:t>
      </w:r>
    </w:p>
    <w:p w14:paraId="3BE06BD0" w14:textId="77777777" w:rsidR="004A0394" w:rsidRDefault="00000000">
      <w:pPr>
        <w:numPr>
          <w:ilvl w:val="0"/>
          <w:numId w:val="17"/>
        </w:numPr>
      </w:pPr>
      <w:r>
        <w:t>Counting acquisitions without weighting the acquiring institution.</w:t>
      </w:r>
    </w:p>
    <w:p w14:paraId="2B94ED8B" w14:textId="77777777" w:rsidR="004A0394" w:rsidRDefault="00000000">
      <w:pPr>
        <w:numPr>
          <w:ilvl w:val="0"/>
          <w:numId w:val="17"/>
        </w:numPr>
      </w:pPr>
      <w:r>
        <w:t>Treating private collection acquisitions as equivalent to institutional acquisitions. Some significant private collections (Sherman, Mona) carry institutional-equivalent weight; many do not.</w:t>
      </w:r>
    </w:p>
    <w:p w14:paraId="0B69C551" w14:textId="77777777" w:rsidR="004A0394" w:rsidRDefault="00000000">
      <w:pPr>
        <w:numPr>
          <w:ilvl w:val="0"/>
          <w:numId w:val="17"/>
        </w:numPr>
      </w:pPr>
      <w:r>
        <w:t>Failing to distinguish acquisition from gift. Both can be significant, but they reflect different institutional commitments.</w:t>
      </w:r>
    </w:p>
    <w:p w14:paraId="73C36367" w14:textId="77777777" w:rsidR="004A0394" w:rsidRDefault="00000000">
      <w:pPr>
        <w:pStyle w:val="Heading3"/>
      </w:pPr>
      <w:bookmarkStart w:id="49" w:name="Xcc82a9eabb4b82ff21e987a8c44295b65352527"/>
      <w:bookmarkEnd w:id="48"/>
      <w:r>
        <w:t>Cross-reference to academic-evaluation framework</w:t>
      </w:r>
    </w:p>
    <w:p w14:paraId="29C9625A" w14:textId="77777777" w:rsidR="004A0394" w:rsidRDefault="00000000">
      <w:pPr>
        <w:pStyle w:val="FirstParagraph"/>
      </w:pPr>
      <w:r>
        <w:t>Standing is the primary framework question; Contribution is read through the institution’s reading of the work’s significance to the collection.</w:t>
      </w:r>
    </w:p>
    <w:p w14:paraId="2DCEDACE" w14:textId="77777777" w:rsidR="004A0394" w:rsidRDefault="00000000">
      <w:pPr>
        <w:pStyle w:val="Heading2"/>
      </w:pPr>
      <w:bookmarkStart w:id="50" w:name="X03c1f9195f7f14aebf47caa03554751b268372a"/>
      <w:bookmarkEnd w:id="43"/>
      <w:bookmarkEnd w:id="49"/>
      <w:r>
        <w:lastRenderedPageBreak/>
        <w:t>Category 5. Publication with a recognised press</w:t>
      </w:r>
    </w:p>
    <w:p w14:paraId="73ACEEF1" w14:textId="77777777" w:rsidR="004A0394" w:rsidRDefault="00000000">
      <w:pPr>
        <w:pStyle w:val="Heading3"/>
      </w:pPr>
      <w:bookmarkStart w:id="51" w:name="definition-4"/>
      <w:r>
        <w:t>Definition</w:t>
      </w:r>
    </w:p>
    <w:p w14:paraId="4C579926" w14:textId="77777777" w:rsidR="004A0394" w:rsidRDefault="00000000">
      <w:pPr>
        <w:pStyle w:val="FirstParagraph"/>
      </w:pPr>
      <w:r>
        <w:t>A monograph, catalogue, edited volume, or chapter published by a recognised press: academic press, major arts publisher, or institutional publication with editorial standards. Distinguishes from self-publishing by the editorial selection process. The publication functions as the textual articulation of the research, sitting alongside the creative work itself. For practice-based researchers, this is the category that traditional academic frameworks already read most fluently, and it provides one of the most useful bridges between the NTRO evidence layer and the standard TRO evidence layer.</w:t>
      </w:r>
    </w:p>
    <w:p w14:paraId="579B1B8C" w14:textId="77777777" w:rsidR="004A0394" w:rsidRDefault="00000000">
      <w:pPr>
        <w:pStyle w:val="Heading3"/>
      </w:pPr>
      <w:bookmarkStart w:id="52" w:name="what-constitutes-evidence-4"/>
      <w:bookmarkEnd w:id="51"/>
      <w:r>
        <w:t>What constitutes evidence</w:t>
      </w:r>
    </w:p>
    <w:p w14:paraId="747CB468" w14:textId="77777777" w:rsidR="004A0394" w:rsidRDefault="00000000">
      <w:pPr>
        <w:numPr>
          <w:ilvl w:val="0"/>
          <w:numId w:val="18"/>
        </w:numPr>
      </w:pPr>
      <w:r>
        <w:t>Published monograph, edited volume, or chapter</w:t>
      </w:r>
    </w:p>
    <w:p w14:paraId="6F21DEDB" w14:textId="77777777" w:rsidR="004A0394" w:rsidRDefault="00000000">
      <w:pPr>
        <w:numPr>
          <w:ilvl w:val="0"/>
          <w:numId w:val="18"/>
        </w:numPr>
      </w:pPr>
      <w:r>
        <w:t>Documentation of the editorial review process (where peer-reviewed press) or the editorial selection (where arts publisher)</w:t>
      </w:r>
    </w:p>
    <w:p w14:paraId="016F791D" w14:textId="77777777" w:rsidR="004A0394" w:rsidRDefault="00000000">
      <w:pPr>
        <w:numPr>
          <w:ilvl w:val="0"/>
          <w:numId w:val="18"/>
        </w:numPr>
      </w:pPr>
      <w:r>
        <w:t>The publication itself, with its scholarly apparatus</w:t>
      </w:r>
    </w:p>
    <w:p w14:paraId="2C860343" w14:textId="77777777" w:rsidR="004A0394" w:rsidRDefault="00000000">
      <w:pPr>
        <w:numPr>
          <w:ilvl w:val="0"/>
          <w:numId w:val="18"/>
        </w:numPr>
      </w:pPr>
      <w:r>
        <w:t>Subsequent citation and uptake</w:t>
      </w:r>
    </w:p>
    <w:p w14:paraId="2C37DDE2" w14:textId="77777777" w:rsidR="004A0394" w:rsidRDefault="00000000">
      <w:pPr>
        <w:pStyle w:val="Heading3"/>
      </w:pPr>
      <w:bookmarkStart w:id="53" w:name="examples-across-disciplines-4"/>
      <w:bookmarkEnd w:id="52"/>
      <w:r>
        <w:t>Examples across disciplines</w:t>
      </w:r>
    </w:p>
    <w:p w14:paraId="76480373" w14:textId="77777777" w:rsidR="004A0394" w:rsidRDefault="00000000">
      <w:pPr>
        <w:numPr>
          <w:ilvl w:val="0"/>
          <w:numId w:val="19"/>
        </w:numPr>
      </w:pPr>
      <w:r>
        <w:rPr>
          <w:b/>
          <w:bCs/>
        </w:rPr>
        <w:t xml:space="preserve">Academic press: </w:t>
      </w:r>
      <w:r>
        <w:t>single-author scholarly monograph with Oxford University Press, Cambridge University Press, Routledge, Bloomsbury Academic, MIT Press, Duke University Press, or equivalent.</w:t>
      </w:r>
    </w:p>
    <w:p w14:paraId="43B93AE4" w14:textId="77777777" w:rsidR="004A0394" w:rsidRDefault="00000000">
      <w:pPr>
        <w:numPr>
          <w:ilvl w:val="0"/>
          <w:numId w:val="19"/>
        </w:numPr>
      </w:pPr>
      <w:r>
        <w:rPr>
          <w:b/>
          <w:bCs/>
        </w:rPr>
        <w:t xml:space="preserve">Major arts publisher: </w:t>
      </w:r>
      <w:r>
        <w:t>authored monograph with Thames and Hudson, Phaidon, Yale UP arts list, Reaktion Books, Princeton Architectural Press.</w:t>
      </w:r>
    </w:p>
    <w:p w14:paraId="34151279" w14:textId="77777777" w:rsidR="004A0394" w:rsidRDefault="00000000">
      <w:pPr>
        <w:numPr>
          <w:ilvl w:val="0"/>
          <w:numId w:val="19"/>
        </w:numPr>
      </w:pPr>
      <w:r>
        <w:rPr>
          <w:b/>
          <w:bCs/>
        </w:rPr>
        <w:t xml:space="preserve">Institutional publication: </w:t>
      </w:r>
      <w:r>
        <w:t>substantial exhibition catalogue or research-program publication from a major state gallery or museum with editorial standards and scholarly apparatus.</w:t>
      </w:r>
    </w:p>
    <w:p w14:paraId="27727709" w14:textId="77777777" w:rsidR="004A0394" w:rsidRDefault="00000000">
      <w:pPr>
        <w:numPr>
          <w:ilvl w:val="0"/>
          <w:numId w:val="19"/>
        </w:numPr>
      </w:pPr>
      <w:r>
        <w:rPr>
          <w:b/>
          <w:bCs/>
        </w:rPr>
        <w:t xml:space="preserve">Edited collection: </w:t>
      </w:r>
      <w:r>
        <w:t>edited volume with academic press, or chapter contribution to a major edited collection in the field.</w:t>
      </w:r>
    </w:p>
    <w:p w14:paraId="6D4D6E42" w14:textId="77777777" w:rsidR="004A0394" w:rsidRDefault="00000000">
      <w:pPr>
        <w:pStyle w:val="Heading3"/>
      </w:pPr>
      <w:bookmarkStart w:id="54" w:name="X25fa2951039b9eb25c4e6ca48cba701ea48efb7"/>
      <w:bookmarkEnd w:id="53"/>
      <w:r>
        <w:t>What the senior assessor should consider</w:t>
      </w:r>
    </w:p>
    <w:p w14:paraId="4E8BB996" w14:textId="77777777" w:rsidR="004A0394" w:rsidRDefault="00000000">
      <w:pPr>
        <w:numPr>
          <w:ilvl w:val="0"/>
          <w:numId w:val="20"/>
        </w:numPr>
      </w:pPr>
      <w:r>
        <w:t>The press’s editorial process: academic presses operate peer review; arts publishers operate editorial selection. Both are forms of selection, but they read differently.</w:t>
      </w:r>
    </w:p>
    <w:p w14:paraId="615B80A3" w14:textId="77777777" w:rsidR="004A0394" w:rsidRDefault="00000000">
      <w:pPr>
        <w:numPr>
          <w:ilvl w:val="0"/>
          <w:numId w:val="20"/>
        </w:numPr>
      </w:pPr>
      <w:r>
        <w:t>The standing of the press in the relevant discipline.</w:t>
      </w:r>
    </w:p>
    <w:p w14:paraId="0E62E28E" w14:textId="77777777" w:rsidR="004A0394" w:rsidRDefault="00000000">
      <w:pPr>
        <w:numPr>
          <w:ilvl w:val="0"/>
          <w:numId w:val="20"/>
        </w:numPr>
      </w:pPr>
      <w:r>
        <w:t>The publication’s scholarly apparatus: does it carry the conventions of academic writing (references, methodology, theoretical framing), or is it presented primarily as a trade or coffee-table publication?</w:t>
      </w:r>
    </w:p>
    <w:p w14:paraId="029A264D" w14:textId="77777777" w:rsidR="004A0394" w:rsidRDefault="00000000">
      <w:pPr>
        <w:numPr>
          <w:ilvl w:val="0"/>
          <w:numId w:val="20"/>
        </w:numPr>
      </w:pPr>
      <w:r>
        <w:t>Subsequent citation and uptake in scholarly and critical writing.</w:t>
      </w:r>
    </w:p>
    <w:p w14:paraId="6EBBFABD" w14:textId="77777777" w:rsidR="004A0394" w:rsidRDefault="00000000">
      <w:pPr>
        <w:pStyle w:val="Heading3"/>
      </w:pPr>
      <w:bookmarkStart w:id="55" w:name="common-failure-modes-4"/>
      <w:bookmarkEnd w:id="54"/>
      <w:r>
        <w:t>Common failure modes</w:t>
      </w:r>
    </w:p>
    <w:p w14:paraId="3C8F094B" w14:textId="77777777" w:rsidR="004A0394" w:rsidRDefault="00000000">
      <w:pPr>
        <w:numPr>
          <w:ilvl w:val="0"/>
          <w:numId w:val="21"/>
        </w:numPr>
      </w:pPr>
      <w:r>
        <w:t>Treating academic-press and arts-publisher publications as identical. Both count, but the assessor should be alert to the different selection processes they carry.</w:t>
      </w:r>
    </w:p>
    <w:p w14:paraId="56644A8D" w14:textId="77777777" w:rsidR="004A0394" w:rsidRDefault="00000000">
      <w:pPr>
        <w:numPr>
          <w:ilvl w:val="0"/>
          <w:numId w:val="21"/>
        </w:numPr>
      </w:pPr>
      <w:r>
        <w:lastRenderedPageBreak/>
        <w:t>Failing to read substantial exhibition catalogues as research outputs. Catalogues by major museums with substantive scholarly essays can be major research contributions; minimal exhibition pamphlets are not.</w:t>
      </w:r>
    </w:p>
    <w:p w14:paraId="608CE7ED" w14:textId="77777777" w:rsidR="004A0394" w:rsidRDefault="00000000">
      <w:pPr>
        <w:numPr>
          <w:ilvl w:val="0"/>
          <w:numId w:val="21"/>
        </w:numPr>
      </w:pPr>
      <w:r>
        <w:t>Counting publications by the press’s reputation alone, without reading the scholarly apparatus.</w:t>
      </w:r>
    </w:p>
    <w:p w14:paraId="18AA4DBC" w14:textId="77777777" w:rsidR="004A0394" w:rsidRDefault="00000000">
      <w:pPr>
        <w:pStyle w:val="Heading3"/>
      </w:pPr>
      <w:bookmarkStart w:id="56" w:name="X004aa06a172db331fb308a5e092935bc5116705"/>
      <w:bookmarkEnd w:id="55"/>
      <w:r>
        <w:t>Cross-reference to academic-evaluation framework</w:t>
      </w:r>
    </w:p>
    <w:p w14:paraId="5874E895" w14:textId="77777777" w:rsidR="004A0394" w:rsidRDefault="00000000">
      <w:pPr>
        <w:pStyle w:val="FirstParagraph"/>
      </w:pPr>
      <w:r>
        <w:t>This category provides the clearest bridge to the framework’s textual evidence reading. Contribution, Reach, and Standing all apply; Rigour is read through the publication’s methodology and theoretical framing.</w:t>
      </w:r>
    </w:p>
    <w:p w14:paraId="180B7A51" w14:textId="77777777" w:rsidR="004A0394" w:rsidRDefault="00000000">
      <w:pPr>
        <w:pStyle w:val="Heading2"/>
      </w:pPr>
      <w:bookmarkStart w:id="57" w:name="Xb81263488e55d3729a63e6d2d097f3ff4914e61"/>
      <w:bookmarkEnd w:id="50"/>
      <w:bookmarkEnd w:id="56"/>
      <w:r>
        <w:t>Category 6. Programming into festival or broadcast</w:t>
      </w:r>
    </w:p>
    <w:p w14:paraId="0B603545" w14:textId="77777777" w:rsidR="004A0394" w:rsidRDefault="00000000">
      <w:pPr>
        <w:pStyle w:val="Heading3"/>
      </w:pPr>
      <w:bookmarkStart w:id="58" w:name="definition-5"/>
      <w:r>
        <w:t>Definition</w:t>
      </w:r>
    </w:p>
    <w:p w14:paraId="04E84241" w14:textId="77777777" w:rsidR="004A0394" w:rsidRDefault="00000000">
      <w:pPr>
        <w:pStyle w:val="FirstParagraph"/>
      </w:pPr>
      <w:r>
        <w:t>Selection of work into a recognised festival, performance program, or broadcast platform. Distinguishes from solo exhibition by the time-based or distributed nature of the work: performance, screen, sound, time-based media, broadcast art. Selection by festival programmers is the peer-review-equivalent operation; reach is the principal impact measure. Especially important for performance-based, time-based, and screen-based practice.</w:t>
      </w:r>
    </w:p>
    <w:p w14:paraId="5D427534" w14:textId="77777777" w:rsidR="004A0394" w:rsidRDefault="00000000">
      <w:pPr>
        <w:pStyle w:val="Heading3"/>
      </w:pPr>
      <w:bookmarkStart w:id="59" w:name="what-constitutes-evidence-5"/>
      <w:bookmarkEnd w:id="58"/>
      <w:r>
        <w:t>What constitutes evidence</w:t>
      </w:r>
    </w:p>
    <w:p w14:paraId="59973191" w14:textId="77777777" w:rsidR="004A0394" w:rsidRDefault="00000000">
      <w:pPr>
        <w:numPr>
          <w:ilvl w:val="0"/>
          <w:numId w:val="22"/>
        </w:numPr>
      </w:pPr>
      <w:r>
        <w:t>Documentation of the festival or broadcast selection</w:t>
      </w:r>
    </w:p>
    <w:p w14:paraId="1855742D" w14:textId="77777777" w:rsidR="004A0394" w:rsidRDefault="00000000">
      <w:pPr>
        <w:numPr>
          <w:ilvl w:val="0"/>
          <w:numId w:val="22"/>
        </w:numPr>
      </w:pPr>
      <w:r>
        <w:t>The programming context: what other work was selected, what the curatorial argument of the festival was</w:t>
      </w:r>
    </w:p>
    <w:p w14:paraId="2156966D" w14:textId="77777777" w:rsidR="004A0394" w:rsidRDefault="00000000">
      <w:pPr>
        <w:numPr>
          <w:ilvl w:val="0"/>
          <w:numId w:val="22"/>
        </w:numPr>
      </w:pPr>
      <w:r>
        <w:t>Documentation of the work as programmed (recording, photography of the performance, broadcast record)</w:t>
      </w:r>
    </w:p>
    <w:p w14:paraId="11D5904B" w14:textId="77777777" w:rsidR="004A0394" w:rsidRDefault="00000000">
      <w:pPr>
        <w:numPr>
          <w:ilvl w:val="0"/>
          <w:numId w:val="22"/>
        </w:numPr>
      </w:pPr>
      <w:r>
        <w:t>Reach measurement: audience numbers, broadcast reach, subsequent uptake</w:t>
      </w:r>
    </w:p>
    <w:p w14:paraId="490D45AB" w14:textId="77777777" w:rsidR="004A0394" w:rsidRDefault="00000000">
      <w:pPr>
        <w:numPr>
          <w:ilvl w:val="0"/>
          <w:numId w:val="22"/>
        </w:numPr>
      </w:pPr>
      <w:r>
        <w:t>Critical reception within the festival or broadcast context</w:t>
      </w:r>
    </w:p>
    <w:p w14:paraId="1D368259" w14:textId="77777777" w:rsidR="004A0394" w:rsidRDefault="00000000">
      <w:pPr>
        <w:pStyle w:val="Heading3"/>
      </w:pPr>
      <w:bookmarkStart w:id="60" w:name="examples-across-disciplines-5"/>
      <w:bookmarkEnd w:id="59"/>
      <w:r>
        <w:t>Examples across disciplines</w:t>
      </w:r>
    </w:p>
    <w:p w14:paraId="4F333FE9" w14:textId="77777777" w:rsidR="004A0394" w:rsidRDefault="00000000">
      <w:pPr>
        <w:numPr>
          <w:ilvl w:val="0"/>
          <w:numId w:val="23"/>
        </w:numPr>
      </w:pPr>
      <w:r>
        <w:rPr>
          <w:b/>
          <w:bCs/>
        </w:rPr>
        <w:t xml:space="preserve">Music: </w:t>
      </w:r>
      <w:r>
        <w:t>selection into a major international or national festival of new music; commissioned composition for broadcast on ABC Classic, BBC Radio 3, or equivalent international broadcasters; long-form audio work for ABC RN or international podcast platforms with editorial selection.</w:t>
      </w:r>
    </w:p>
    <w:p w14:paraId="7C27B498" w14:textId="77777777" w:rsidR="004A0394" w:rsidRDefault="00000000">
      <w:pPr>
        <w:numPr>
          <w:ilvl w:val="0"/>
          <w:numId w:val="23"/>
        </w:numPr>
      </w:pPr>
      <w:r>
        <w:rPr>
          <w:b/>
          <w:bCs/>
        </w:rPr>
        <w:t xml:space="preserve">Theatre and performance: </w:t>
      </w:r>
      <w:r>
        <w:t>programmed work in Sydney Festival, Adelaide Festival, Melbourne International Arts Festival, Brisbane Festival, Edinburgh International Festival, Avignon Festival.</w:t>
      </w:r>
    </w:p>
    <w:p w14:paraId="1A481B17" w14:textId="77777777" w:rsidR="004A0394" w:rsidRDefault="00000000">
      <w:pPr>
        <w:numPr>
          <w:ilvl w:val="0"/>
          <w:numId w:val="23"/>
        </w:numPr>
      </w:pPr>
      <w:r>
        <w:rPr>
          <w:b/>
          <w:bCs/>
        </w:rPr>
        <w:t xml:space="preserve">Screen: </w:t>
      </w:r>
      <w:r>
        <w:t>festival selection at Sydney Film Festival, Melbourne International Film Festival, Adelaide Film Festival, or international equivalents (Cannes, Berlin, Toronto, Sundance, Rotterdam, IDFA).</w:t>
      </w:r>
    </w:p>
    <w:p w14:paraId="5B43FC2C" w14:textId="77777777" w:rsidR="004A0394" w:rsidRDefault="00000000">
      <w:pPr>
        <w:numPr>
          <w:ilvl w:val="0"/>
          <w:numId w:val="23"/>
        </w:numPr>
      </w:pPr>
      <w:r>
        <w:rPr>
          <w:b/>
          <w:bCs/>
        </w:rPr>
        <w:t xml:space="preserve">Sound and time-based art: </w:t>
      </w:r>
      <w:r>
        <w:t>programmed work in Liquid Architecture, Unsound, Mona Foma, or equivalent.</w:t>
      </w:r>
    </w:p>
    <w:p w14:paraId="5A2E1460" w14:textId="77777777" w:rsidR="004A0394" w:rsidRDefault="00000000">
      <w:pPr>
        <w:numPr>
          <w:ilvl w:val="0"/>
          <w:numId w:val="23"/>
        </w:numPr>
      </w:pPr>
      <w:r>
        <w:rPr>
          <w:b/>
          <w:bCs/>
        </w:rPr>
        <w:lastRenderedPageBreak/>
        <w:t xml:space="preserve">Broadcast: </w:t>
      </w:r>
      <w:r>
        <w:t>broadcast commissions and selections by ABC, SBS, or equivalent national and international broadcasters with editorial selection.</w:t>
      </w:r>
    </w:p>
    <w:p w14:paraId="34D09266" w14:textId="77777777" w:rsidR="004A0394" w:rsidRDefault="00000000">
      <w:pPr>
        <w:pStyle w:val="Heading3"/>
      </w:pPr>
      <w:bookmarkStart w:id="61" w:name="X77dbc6e7e8a24e47a69e95013cf2304314c7729"/>
      <w:bookmarkEnd w:id="60"/>
      <w:r>
        <w:t>What the senior assessor should consider</w:t>
      </w:r>
    </w:p>
    <w:p w14:paraId="408D1FA2" w14:textId="77777777" w:rsidR="004A0394" w:rsidRDefault="00000000">
      <w:pPr>
        <w:numPr>
          <w:ilvl w:val="0"/>
          <w:numId w:val="24"/>
        </w:numPr>
      </w:pPr>
      <w:r>
        <w:t>The standing of the festival or broadcast platform in the relevant field.</w:t>
      </w:r>
    </w:p>
    <w:p w14:paraId="010355C2" w14:textId="77777777" w:rsidR="004A0394" w:rsidRDefault="00000000">
      <w:pPr>
        <w:numPr>
          <w:ilvl w:val="0"/>
          <w:numId w:val="24"/>
        </w:numPr>
      </w:pPr>
      <w:r>
        <w:t>The selection process: competitive submission, curatorial selection, invitation, or open programming all carry different weights.</w:t>
      </w:r>
    </w:p>
    <w:p w14:paraId="77FDA706" w14:textId="77777777" w:rsidR="004A0394" w:rsidRDefault="00000000">
      <w:pPr>
        <w:numPr>
          <w:ilvl w:val="0"/>
          <w:numId w:val="24"/>
        </w:numPr>
      </w:pPr>
      <w:r>
        <w:t>The reach of the program or broadcast: audience numbers, broadcast reach, subsequent uptake.</w:t>
      </w:r>
    </w:p>
    <w:p w14:paraId="58FD902F" w14:textId="77777777" w:rsidR="004A0394" w:rsidRDefault="00000000">
      <w:pPr>
        <w:numPr>
          <w:ilvl w:val="0"/>
          <w:numId w:val="24"/>
        </w:numPr>
      </w:pPr>
      <w:r>
        <w:t>The work’s life after the initial program: re-programming, broadcast in subsequent contexts, re-publication.</w:t>
      </w:r>
    </w:p>
    <w:p w14:paraId="12913BCF" w14:textId="77777777" w:rsidR="004A0394" w:rsidRDefault="00000000">
      <w:pPr>
        <w:pStyle w:val="Heading3"/>
      </w:pPr>
      <w:bookmarkStart w:id="62" w:name="common-failure-modes-5"/>
      <w:bookmarkEnd w:id="61"/>
      <w:r>
        <w:t>Common failure modes</w:t>
      </w:r>
    </w:p>
    <w:p w14:paraId="68B03AC8" w14:textId="77777777" w:rsidR="004A0394" w:rsidRDefault="00000000">
      <w:pPr>
        <w:numPr>
          <w:ilvl w:val="0"/>
          <w:numId w:val="25"/>
        </w:numPr>
      </w:pPr>
      <w:r>
        <w:t>Counting festivals without weighting their standing. Sydney Festival differs from a regional festival; ABC RN differs from a community broadcast.</w:t>
      </w:r>
    </w:p>
    <w:p w14:paraId="4BCBE88A" w14:textId="77777777" w:rsidR="004A0394" w:rsidRDefault="00000000">
      <w:pPr>
        <w:numPr>
          <w:ilvl w:val="0"/>
          <w:numId w:val="25"/>
        </w:numPr>
      </w:pPr>
      <w:r>
        <w:t>Failing to read across the disciplinary range: festival selection in music, theatre, screen and sound all operate as peer-review-equivalent processes, but the standing markers differ.</w:t>
      </w:r>
    </w:p>
    <w:p w14:paraId="68A4E6D3" w14:textId="77777777" w:rsidR="004A0394" w:rsidRDefault="00000000">
      <w:pPr>
        <w:numPr>
          <w:ilvl w:val="0"/>
          <w:numId w:val="25"/>
        </w:numPr>
      </w:pPr>
      <w:r>
        <w:t>Treating broadcast and festival selection as equivalent to commercial programming. Editorial selection by an editorial team is the key feature; pay-for-play arrangements are not.</w:t>
      </w:r>
    </w:p>
    <w:p w14:paraId="19380DB0" w14:textId="77777777" w:rsidR="004A0394" w:rsidRDefault="00000000">
      <w:pPr>
        <w:pStyle w:val="Heading3"/>
      </w:pPr>
      <w:bookmarkStart w:id="63" w:name="X9477762560822bad0a12b195c5197b678d23400"/>
      <w:bookmarkEnd w:id="62"/>
      <w:r>
        <w:t>Cross-reference to academic-evaluation framework</w:t>
      </w:r>
    </w:p>
    <w:p w14:paraId="1671D508" w14:textId="77777777" w:rsidR="004A0394" w:rsidRDefault="00000000">
      <w:pPr>
        <w:pStyle w:val="FirstParagraph"/>
      </w:pPr>
      <w:r>
        <w:t>Reach is the primary framework question; Standing is read through the festival or broadcaster’s editorial process.</w:t>
      </w:r>
    </w:p>
    <w:p w14:paraId="2806614F" w14:textId="77777777" w:rsidR="004A0394" w:rsidRDefault="00000000">
      <w:pPr>
        <w:pStyle w:val="Heading2"/>
      </w:pPr>
      <w:bookmarkStart w:id="64" w:name="category-7.-citation-over-time"/>
      <w:bookmarkEnd w:id="57"/>
      <w:bookmarkEnd w:id="63"/>
      <w:r>
        <w:t>Category 7. Citation over time</w:t>
      </w:r>
    </w:p>
    <w:p w14:paraId="17CFDF88" w14:textId="77777777" w:rsidR="004A0394" w:rsidRDefault="00000000">
      <w:pPr>
        <w:pStyle w:val="Heading3"/>
      </w:pPr>
      <w:bookmarkStart w:id="65" w:name="definition-6"/>
      <w:r>
        <w:t>Definition</w:t>
      </w:r>
    </w:p>
    <w:p w14:paraId="1CBF10FE" w14:textId="77777777" w:rsidR="004A0394" w:rsidRDefault="00000000">
      <w:pPr>
        <w:pStyle w:val="FirstParagraph"/>
      </w:pPr>
      <w:r>
        <w:t>The accumulated record of how a body of work has been taken up: references in catalogue essays, critical writing, artist monographs by other authors, curatorial texts in subsequent exhibitions, and most importantly subsequent artworks that build on or respond to the original. Citation in creative practice is broader than bibliometric citation but operates structurally the same way: it shows that the work has entered the field’s discourse. This is the longitudinal evidence layer that accumulates after the work exists.</w:t>
      </w:r>
    </w:p>
    <w:p w14:paraId="68FB96AB" w14:textId="77777777" w:rsidR="004A0394" w:rsidRDefault="00000000">
      <w:pPr>
        <w:pStyle w:val="Heading3"/>
      </w:pPr>
      <w:bookmarkStart w:id="66" w:name="what-constitutes-evidence-6"/>
      <w:bookmarkEnd w:id="65"/>
      <w:r>
        <w:t>What constitutes evidence</w:t>
      </w:r>
    </w:p>
    <w:p w14:paraId="16D01962" w14:textId="77777777" w:rsidR="004A0394" w:rsidRDefault="00000000">
      <w:pPr>
        <w:numPr>
          <w:ilvl w:val="0"/>
          <w:numId w:val="26"/>
        </w:numPr>
      </w:pPr>
      <w:r>
        <w:t>References to the work in catalogue essays, critical writing, and scholarly publications by others</w:t>
      </w:r>
    </w:p>
    <w:p w14:paraId="486A705C" w14:textId="77777777" w:rsidR="004A0394" w:rsidRDefault="00000000">
      <w:pPr>
        <w:numPr>
          <w:ilvl w:val="0"/>
          <w:numId w:val="26"/>
        </w:numPr>
      </w:pPr>
      <w:r>
        <w:t>Re-exhibition, re-performance, or re-programming of the work by other curators and programmers</w:t>
      </w:r>
    </w:p>
    <w:p w14:paraId="36655642" w14:textId="77777777" w:rsidR="004A0394" w:rsidRDefault="00000000">
      <w:pPr>
        <w:numPr>
          <w:ilvl w:val="0"/>
          <w:numId w:val="26"/>
        </w:numPr>
      </w:pPr>
      <w:r>
        <w:t>Inclusion of the work in survey publications, anthologies, or thematic collections by other authors</w:t>
      </w:r>
    </w:p>
    <w:p w14:paraId="68AAFDD6" w14:textId="77777777" w:rsidR="004A0394" w:rsidRDefault="00000000">
      <w:pPr>
        <w:numPr>
          <w:ilvl w:val="0"/>
          <w:numId w:val="26"/>
        </w:numPr>
      </w:pPr>
      <w:r>
        <w:lastRenderedPageBreak/>
        <w:t>Documented uptake in subsequent artists’ or researchers’ practice</w:t>
      </w:r>
    </w:p>
    <w:p w14:paraId="02D8EF1C" w14:textId="77777777" w:rsidR="004A0394" w:rsidRDefault="00000000">
      <w:pPr>
        <w:numPr>
          <w:ilvl w:val="0"/>
          <w:numId w:val="26"/>
        </w:numPr>
      </w:pPr>
      <w:r>
        <w:t>Coverage in arts press and scholarly journals over time</w:t>
      </w:r>
    </w:p>
    <w:p w14:paraId="5759BC05" w14:textId="77777777" w:rsidR="004A0394" w:rsidRDefault="00000000">
      <w:pPr>
        <w:pStyle w:val="Heading3"/>
      </w:pPr>
      <w:bookmarkStart w:id="67" w:name="examples-across-disciplines-6"/>
      <w:bookmarkEnd w:id="66"/>
      <w:r>
        <w:t>Examples across disciplines</w:t>
      </w:r>
    </w:p>
    <w:p w14:paraId="288EE429" w14:textId="77777777" w:rsidR="004A0394" w:rsidRDefault="00000000">
      <w:pPr>
        <w:numPr>
          <w:ilvl w:val="0"/>
          <w:numId w:val="27"/>
        </w:numPr>
      </w:pPr>
      <w:r>
        <w:rPr>
          <w:b/>
          <w:bCs/>
        </w:rPr>
        <w:t xml:space="preserve">Visual arts: </w:t>
      </w:r>
      <w:r>
        <w:t>references to a body of work in subsequent catalogue essays by other curators; inclusion in survey publications of the field; re-exhibition in thematic shows by other curators; citation in artist monographs and scholarly art history publications.</w:t>
      </w:r>
    </w:p>
    <w:p w14:paraId="0CD3C94C" w14:textId="77777777" w:rsidR="004A0394" w:rsidRDefault="00000000">
      <w:pPr>
        <w:numPr>
          <w:ilvl w:val="0"/>
          <w:numId w:val="27"/>
        </w:numPr>
      </w:pPr>
      <w:r>
        <w:rPr>
          <w:b/>
          <w:bCs/>
        </w:rPr>
        <w:t xml:space="preserve">Music: </w:t>
      </w:r>
      <w:r>
        <w:t>repertoire inclusion by orchestras and ensembles beyond the commissioning body; recording and re-recording of works by other performers; citation in scholarly musicology.</w:t>
      </w:r>
    </w:p>
    <w:p w14:paraId="33DE1844" w14:textId="77777777" w:rsidR="004A0394" w:rsidRDefault="00000000">
      <w:pPr>
        <w:numPr>
          <w:ilvl w:val="0"/>
          <w:numId w:val="27"/>
        </w:numPr>
      </w:pPr>
      <w:r>
        <w:rPr>
          <w:b/>
          <w:bCs/>
        </w:rPr>
        <w:t xml:space="preserve">Theatre and performance: </w:t>
      </w:r>
      <w:r>
        <w:t>re-production of work by other companies; citation in theatre studies scholarship; influence documented in subsequent practitioners’ work.</w:t>
      </w:r>
    </w:p>
    <w:p w14:paraId="6A55B042" w14:textId="77777777" w:rsidR="004A0394" w:rsidRDefault="00000000">
      <w:pPr>
        <w:numPr>
          <w:ilvl w:val="0"/>
          <w:numId w:val="27"/>
        </w:numPr>
      </w:pPr>
      <w:r>
        <w:rPr>
          <w:b/>
          <w:bCs/>
        </w:rPr>
        <w:t xml:space="preserve">Creative writing: </w:t>
      </w:r>
      <w:r>
        <w:t>citation in critical scholarship; anthology inclusion; reference in subsequent literary works; sustained critical engagement across multiple publications over time.</w:t>
      </w:r>
    </w:p>
    <w:p w14:paraId="7457BFB8" w14:textId="77777777" w:rsidR="004A0394" w:rsidRDefault="00000000">
      <w:pPr>
        <w:numPr>
          <w:ilvl w:val="0"/>
          <w:numId w:val="27"/>
        </w:numPr>
      </w:pPr>
      <w:r>
        <w:rPr>
          <w:b/>
          <w:bCs/>
        </w:rPr>
        <w:t xml:space="preserve">Screen: </w:t>
      </w:r>
      <w:r>
        <w:t>re-screening in retrospective programs; citation in film studies scholarship; influence documented in subsequent screen work.</w:t>
      </w:r>
    </w:p>
    <w:p w14:paraId="6562FDB0" w14:textId="77777777" w:rsidR="004A0394" w:rsidRDefault="00000000">
      <w:pPr>
        <w:pStyle w:val="Heading3"/>
      </w:pPr>
      <w:bookmarkStart w:id="68" w:name="Xcb5daaf50b8ae2f544377eddcb9a108e28c3416"/>
      <w:bookmarkEnd w:id="67"/>
      <w:r>
        <w:t>What the senior assessor should consider</w:t>
      </w:r>
    </w:p>
    <w:p w14:paraId="21AB2EEB" w14:textId="77777777" w:rsidR="004A0394" w:rsidRDefault="00000000">
      <w:pPr>
        <w:numPr>
          <w:ilvl w:val="0"/>
          <w:numId w:val="28"/>
        </w:numPr>
      </w:pPr>
      <w:r>
        <w:t>The cumulative pattern of citation, not the individual instances. A single citation is suggestive; a sustained pattern of citation across multiple sources and over time is strong evidence of standing.</w:t>
      </w:r>
    </w:p>
    <w:p w14:paraId="3F33A904" w14:textId="77777777" w:rsidR="004A0394" w:rsidRDefault="00000000">
      <w:pPr>
        <w:numPr>
          <w:ilvl w:val="0"/>
          <w:numId w:val="28"/>
        </w:numPr>
      </w:pPr>
      <w:r>
        <w:t>The range of contexts in which the work is cited: scholarly publications, curatorial writing, subsequent practice, popular criticism all carry different weight but all contribute.</w:t>
      </w:r>
    </w:p>
    <w:p w14:paraId="3BE7C868" w14:textId="77777777" w:rsidR="004A0394" w:rsidRDefault="00000000">
      <w:pPr>
        <w:numPr>
          <w:ilvl w:val="0"/>
          <w:numId w:val="28"/>
        </w:numPr>
      </w:pPr>
      <w:r>
        <w:t>The substantive nature of the citation: is the work being substantively engaged with, or merely listed? Substantive engagement signals greater impact.</w:t>
      </w:r>
    </w:p>
    <w:p w14:paraId="46002256" w14:textId="77777777" w:rsidR="004A0394" w:rsidRDefault="00000000">
      <w:pPr>
        <w:numPr>
          <w:ilvl w:val="0"/>
          <w:numId w:val="28"/>
        </w:numPr>
      </w:pPr>
      <w:r>
        <w:t>The geographical and temporal reach of the citation: national, international, sustained over a decade or more all signal greater standing.</w:t>
      </w:r>
    </w:p>
    <w:p w14:paraId="0E320DF1" w14:textId="77777777" w:rsidR="004A0394" w:rsidRDefault="00000000">
      <w:pPr>
        <w:pStyle w:val="Heading3"/>
      </w:pPr>
      <w:bookmarkStart w:id="69" w:name="common-failure-modes-6"/>
      <w:bookmarkEnd w:id="68"/>
      <w:r>
        <w:t>Common failure modes</w:t>
      </w:r>
    </w:p>
    <w:p w14:paraId="314DA214" w14:textId="77777777" w:rsidR="004A0394" w:rsidRDefault="00000000">
      <w:pPr>
        <w:numPr>
          <w:ilvl w:val="0"/>
          <w:numId w:val="29"/>
        </w:numPr>
      </w:pPr>
      <w:r>
        <w:t>Counting citations without reading them. Bibliometric counts in fields where citations are sparse can mislead; the substantive nature of each citation matters.</w:t>
      </w:r>
    </w:p>
    <w:p w14:paraId="0A4FB6B4" w14:textId="77777777" w:rsidR="004A0394" w:rsidRDefault="00000000">
      <w:pPr>
        <w:numPr>
          <w:ilvl w:val="0"/>
          <w:numId w:val="29"/>
        </w:numPr>
      </w:pPr>
      <w:r>
        <w:t>Failing to recognise non-bibliometric citation. Catalogue essays, curatorial texts, subsequent artworks all constitute citation in the scholarly sense even when they don’t appear in Google Scholar.</w:t>
      </w:r>
    </w:p>
    <w:p w14:paraId="2F20DE46" w14:textId="77777777" w:rsidR="004A0394" w:rsidRDefault="00000000">
      <w:pPr>
        <w:numPr>
          <w:ilvl w:val="0"/>
          <w:numId w:val="29"/>
        </w:numPr>
      </w:pPr>
      <w:r>
        <w:t>Reading citation as a primary measure rather than as one evidence type among the seven. Citation accumulates after the fact and is the longitudinal layer; it should be read as evidence of standing built through the other categories, not as a standalone measure.</w:t>
      </w:r>
    </w:p>
    <w:p w14:paraId="1AFBF6D4" w14:textId="77777777" w:rsidR="004A0394" w:rsidRDefault="00000000">
      <w:pPr>
        <w:pStyle w:val="Heading3"/>
      </w:pPr>
      <w:bookmarkStart w:id="70" w:name="Xec8e1cb65885771b48b6560e991f97ad027cae1"/>
      <w:bookmarkEnd w:id="69"/>
      <w:r>
        <w:lastRenderedPageBreak/>
        <w:t>Cross-reference to academic-evaluation framework</w:t>
      </w:r>
    </w:p>
    <w:p w14:paraId="4F38DCDC" w14:textId="77777777" w:rsidR="004A0394" w:rsidRDefault="00000000">
      <w:pPr>
        <w:pStyle w:val="FirstParagraph"/>
      </w:pPr>
      <w:r>
        <w:t>Standing is the primary framework question; Reach is read through the geographical and temporal scope of citation; Contribution is read through the substantive engagement that citation indicates.</w:t>
      </w:r>
    </w:p>
    <w:p w14:paraId="537DC674" w14:textId="77777777" w:rsidR="004A0394" w:rsidRDefault="00000000">
      <w:pPr>
        <w:pStyle w:val="Heading1"/>
      </w:pPr>
      <w:bookmarkStart w:id="71" w:name="revision-and-acknowledgements"/>
      <w:bookmarkEnd w:id="21"/>
      <w:bookmarkEnd w:id="64"/>
      <w:bookmarkEnd w:id="70"/>
      <w:r>
        <w:t>Revision and acknowledgements</w:t>
      </w:r>
    </w:p>
    <w:p w14:paraId="1B332483" w14:textId="77777777" w:rsidR="004A0394" w:rsidRDefault="00000000">
      <w:pPr>
        <w:pStyle w:val="Heading2"/>
      </w:pPr>
      <w:bookmarkStart w:id="72" w:name="revision-schedule"/>
      <w:r>
        <w:t>Revision schedule</w:t>
      </w:r>
    </w:p>
    <w:p w14:paraId="140C7D4D" w14:textId="77777777" w:rsidR="004A0394" w:rsidRDefault="00000000">
      <w:pPr>
        <w:pStyle w:val="FirstParagraph"/>
      </w:pPr>
      <w:r>
        <w:t>This document is to be reviewed and revised on a three-to-five year cycle. The principal triggers for revision are: changes in disciplinary conventions; emergence of new venues, presses, festivals, or commissioning bodies that warrant inclusion as standing markers; substantive change in the institutional academic-evaluation framework; and substantive change in the federal HERDC categories or sector-level NTRO assessment frameworks.</w:t>
      </w:r>
    </w:p>
    <w:p w14:paraId="3E2F9FEE" w14:textId="77777777" w:rsidR="004A0394" w:rsidRDefault="00000000">
      <w:pPr>
        <w:pStyle w:val="BodyText"/>
      </w:pPr>
      <w:r>
        <w:t>Revision must be conducted by a working group that includes senior practitioners from each discipline covered in the document, Indigenous research leadership, and representation from the institutional research office. A revised version of the document should be circulated for sector feedback before adoption.</w:t>
      </w:r>
    </w:p>
    <w:p w14:paraId="441746B3" w14:textId="77777777" w:rsidR="004A0394" w:rsidRDefault="00000000">
      <w:pPr>
        <w:pStyle w:val="Heading2"/>
      </w:pPr>
      <w:bookmarkStart w:id="73" w:name="current-authorship-and-limitations"/>
      <w:bookmarkEnd w:id="72"/>
      <w:r>
        <w:t>Current authorship and limitations</w:t>
      </w:r>
    </w:p>
    <w:p w14:paraId="4C0027AE" w14:textId="77777777" w:rsidR="004A0394" w:rsidRDefault="00000000">
      <w:pPr>
        <w:pStyle w:val="FirstParagraph"/>
      </w:pPr>
      <w:r>
        <w:t>This draft is authored by Sanné Mestrom (Senior Lecturer, Sydney College of the Arts; Senior Research Advisor, Faculty of Arts and Social Sciences; ARC DECRA Fellow). It is offered as an opening contribution to a coalition document that should eventually include peak body representation and Indigenous research leadership.</w:t>
      </w:r>
    </w:p>
    <w:p w14:paraId="3CFF1235" w14:textId="77777777" w:rsidR="004A0394" w:rsidRDefault="00000000">
      <w:pPr>
        <w:pStyle w:val="BodyText"/>
      </w:pPr>
      <w:r>
        <w:t>Limitations of the current draft, acknowledged explicitly: the categories reflect Anglo-European creative-practice research conventions, with limited attention to Indigenous research methodologies. The disciplinary range is uneven: visual arts examples are more developed than music, theatre, screen, or literature examples. The category boundaries are not exhaustive of the field and may need to be revised based on cases the categories cannot accommodate.</w:t>
      </w:r>
    </w:p>
    <w:p w14:paraId="206A467C" w14:textId="77777777" w:rsidR="004A0394" w:rsidRDefault="00000000">
      <w:pPr>
        <w:pStyle w:val="Heading2"/>
      </w:pPr>
      <w:bookmarkStart w:id="74" w:name="next-steps"/>
      <w:bookmarkEnd w:id="73"/>
      <w:r>
        <w:t>Next steps</w:t>
      </w:r>
    </w:p>
    <w:p w14:paraId="281EC49C" w14:textId="77777777" w:rsidR="004A0394" w:rsidRDefault="00000000">
      <w:pPr>
        <w:pStyle w:val="FirstParagraph"/>
      </w:pPr>
      <w:r>
        <w:t>The next steps for this document are: review by Indigenous research leadership before any wider circulation; consultation with peak bodies (DDCA, ACUADS, ASPERA, AAWP, IDEA, and equivalents for music and theatre); piloting against a small number of actual NTRO assessment cases to test whether the document supports expert reading in practice without lapsing into tier-counting; revision based on that piloting; and progressive expansion of the disciplinary range and depth of the examples.</w:t>
      </w:r>
    </w:p>
    <w:p w14:paraId="3F696C0A" w14:textId="77777777" w:rsidR="004A0394" w:rsidRDefault="00000000">
      <w:pPr>
        <w:pStyle w:val="Heading2"/>
      </w:pPr>
      <w:bookmarkStart w:id="75" w:name="acknowledgements"/>
      <w:bookmarkEnd w:id="74"/>
      <w:r>
        <w:t>Acknowledgements</w:t>
      </w:r>
    </w:p>
    <w:p w14:paraId="4A628D87" w14:textId="77777777" w:rsidR="004A0394" w:rsidRDefault="00000000">
      <w:pPr>
        <w:pStyle w:val="FirstParagraph"/>
      </w:pPr>
      <w:r>
        <w:t xml:space="preserve">The categories draw on conversations with senior practitioners across visual arts, music, theatre and performance, and creative writing. The Reference Document concept itself is developed in the Translation paper (Mestrom, forthcoming). The framing of the seven categories owes a structural debt to the Glisovic and Batty (2026) DDCA </w:t>
      </w:r>
      <w:r>
        <w:lastRenderedPageBreak/>
        <w:t>recommendations, and to the foundational work of Haseman (2006), Barrett and Bolt (2007), Smith and Dean (2009), Borgdorff (2011), Nelson (2013), and Sullivan (2009). The McKee study published in 2020 (Media International Australia 177:1) provides the comparator that the seven categories are partly designed to address.</w:t>
      </w:r>
    </w:p>
    <w:p w14:paraId="41DC6256" w14:textId="77777777" w:rsidR="004A0394" w:rsidRDefault="00000000">
      <w:pPr>
        <w:pStyle w:val="BodyText"/>
      </w:pPr>
      <w:r>
        <w:t>This is a working draft. Feedback is welcome.</w:t>
      </w:r>
    </w:p>
    <w:p w14:paraId="3EB56578" w14:textId="77777777" w:rsidR="004A0394" w:rsidRDefault="00000000">
      <w:pPr>
        <w:pStyle w:val="BodyText"/>
      </w:pPr>
      <w:r>
        <w:t>16</w:t>
      </w:r>
      <w:bookmarkEnd w:id="71"/>
      <w:bookmarkEnd w:id="75"/>
    </w:p>
    <w:sectPr w:rsidR="004A0394" w:rsidSect="00162D40">
      <w:footerReference w:type="even" r:id="rId10"/>
      <w:footerReference w:type="default" r:id="rId11"/>
      <w:pgSz w:w="11900" w:h="1682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A155EA" w14:textId="77777777" w:rsidR="001365E4" w:rsidRDefault="001365E4">
      <w:pPr>
        <w:spacing w:after="0"/>
      </w:pPr>
      <w:r>
        <w:separator/>
      </w:r>
    </w:p>
  </w:endnote>
  <w:endnote w:type="continuationSeparator" w:id="0">
    <w:p w14:paraId="37CF803D" w14:textId="77777777" w:rsidR="001365E4" w:rsidRDefault="001365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45833666"/>
      <w:docPartObj>
        <w:docPartGallery w:val="Page Numbers (Bottom of Page)"/>
        <w:docPartUnique/>
      </w:docPartObj>
    </w:sdtPr>
    <w:sdtContent>
      <w:p w14:paraId="17B28245" w14:textId="452EEB5A" w:rsidR="00162D40" w:rsidRDefault="00162D40" w:rsidP="00572A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DE790FF" w14:textId="77777777" w:rsidR="00162D40" w:rsidRDefault="00162D40" w:rsidP="00162D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3437923"/>
      <w:docPartObj>
        <w:docPartGallery w:val="Page Numbers (Bottom of Page)"/>
        <w:docPartUnique/>
      </w:docPartObj>
    </w:sdtPr>
    <w:sdtContent>
      <w:p w14:paraId="5AF561BB" w14:textId="66F3E4C1" w:rsidR="00162D40" w:rsidRDefault="00162D40" w:rsidP="00572A4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79219D3" w14:textId="77777777" w:rsidR="00162D40" w:rsidRDefault="00162D40" w:rsidP="00162D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DF71B4" w14:textId="77777777" w:rsidR="001365E4" w:rsidRDefault="001365E4">
      <w:r>
        <w:separator/>
      </w:r>
    </w:p>
  </w:footnote>
  <w:footnote w:type="continuationSeparator" w:id="0">
    <w:p w14:paraId="3C2406FB" w14:textId="77777777" w:rsidR="001365E4" w:rsidRDefault="001365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58701CCC"/>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1428258"/>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FB0022B"/>
    <w:multiLevelType w:val="hybridMultilevel"/>
    <w:tmpl w:val="E6642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233213"/>
    <w:multiLevelType w:val="hybridMultilevel"/>
    <w:tmpl w:val="1230063E"/>
    <w:lvl w:ilvl="0" w:tplc="DB90AA56">
      <w:start w:val="2"/>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1E3FEE"/>
    <w:multiLevelType w:val="hybridMultilevel"/>
    <w:tmpl w:val="645EEC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6424DD"/>
    <w:multiLevelType w:val="hybridMultilevel"/>
    <w:tmpl w:val="C1345EE2"/>
    <w:lvl w:ilvl="0" w:tplc="E6666B5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99835123">
    <w:abstractNumId w:val="0"/>
  </w:num>
  <w:num w:numId="2" w16cid:durableId="575481101">
    <w:abstractNumId w:val="1"/>
  </w:num>
  <w:num w:numId="3" w16cid:durableId="2034064355">
    <w:abstractNumId w:val="1"/>
  </w:num>
  <w:num w:numId="4" w16cid:durableId="997611794">
    <w:abstractNumId w:val="1"/>
  </w:num>
  <w:num w:numId="5" w16cid:durableId="274102570">
    <w:abstractNumId w:val="1"/>
  </w:num>
  <w:num w:numId="6" w16cid:durableId="933442955">
    <w:abstractNumId w:val="1"/>
  </w:num>
  <w:num w:numId="7" w16cid:durableId="702243465">
    <w:abstractNumId w:val="1"/>
  </w:num>
  <w:num w:numId="8" w16cid:durableId="398862724">
    <w:abstractNumId w:val="1"/>
  </w:num>
  <w:num w:numId="9" w16cid:durableId="195318397">
    <w:abstractNumId w:val="1"/>
  </w:num>
  <w:num w:numId="10" w16cid:durableId="2105953235">
    <w:abstractNumId w:val="1"/>
  </w:num>
  <w:num w:numId="11" w16cid:durableId="31417699">
    <w:abstractNumId w:val="1"/>
  </w:num>
  <w:num w:numId="12" w16cid:durableId="190385872">
    <w:abstractNumId w:val="1"/>
  </w:num>
  <w:num w:numId="13" w16cid:durableId="1051543285">
    <w:abstractNumId w:val="1"/>
  </w:num>
  <w:num w:numId="14" w16cid:durableId="242643653">
    <w:abstractNumId w:val="1"/>
  </w:num>
  <w:num w:numId="15" w16cid:durableId="549923426">
    <w:abstractNumId w:val="1"/>
  </w:num>
  <w:num w:numId="16" w16cid:durableId="438260934">
    <w:abstractNumId w:val="1"/>
  </w:num>
  <w:num w:numId="17" w16cid:durableId="85924311">
    <w:abstractNumId w:val="1"/>
  </w:num>
  <w:num w:numId="18" w16cid:durableId="1860653897">
    <w:abstractNumId w:val="1"/>
  </w:num>
  <w:num w:numId="19" w16cid:durableId="1320428713">
    <w:abstractNumId w:val="1"/>
  </w:num>
  <w:num w:numId="20" w16cid:durableId="110898313">
    <w:abstractNumId w:val="1"/>
  </w:num>
  <w:num w:numId="21" w16cid:durableId="1435205019">
    <w:abstractNumId w:val="1"/>
  </w:num>
  <w:num w:numId="22" w16cid:durableId="233704980">
    <w:abstractNumId w:val="1"/>
  </w:num>
  <w:num w:numId="23" w16cid:durableId="762149456">
    <w:abstractNumId w:val="1"/>
  </w:num>
  <w:num w:numId="24" w16cid:durableId="632953242">
    <w:abstractNumId w:val="1"/>
  </w:num>
  <w:num w:numId="25" w16cid:durableId="1598174663">
    <w:abstractNumId w:val="1"/>
  </w:num>
  <w:num w:numId="26" w16cid:durableId="429090056">
    <w:abstractNumId w:val="1"/>
  </w:num>
  <w:num w:numId="27" w16cid:durableId="809857289">
    <w:abstractNumId w:val="1"/>
  </w:num>
  <w:num w:numId="28" w16cid:durableId="1734624465">
    <w:abstractNumId w:val="1"/>
  </w:num>
  <w:num w:numId="29" w16cid:durableId="1127969399">
    <w:abstractNumId w:val="1"/>
  </w:num>
  <w:num w:numId="30" w16cid:durableId="885218432">
    <w:abstractNumId w:val="3"/>
  </w:num>
  <w:num w:numId="31" w16cid:durableId="202139604">
    <w:abstractNumId w:val="5"/>
  </w:num>
  <w:num w:numId="32" w16cid:durableId="2014523646">
    <w:abstractNumId w:val="4"/>
  </w:num>
  <w:num w:numId="33" w16cid:durableId="12016681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4"/>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394"/>
    <w:rsid w:val="00002DD3"/>
    <w:rsid w:val="000C75BC"/>
    <w:rsid w:val="000D2F03"/>
    <w:rsid w:val="001365E4"/>
    <w:rsid w:val="00142B9F"/>
    <w:rsid w:val="00144DA3"/>
    <w:rsid w:val="001467DE"/>
    <w:rsid w:val="00162D40"/>
    <w:rsid w:val="00173289"/>
    <w:rsid w:val="0019035D"/>
    <w:rsid w:val="001A088B"/>
    <w:rsid w:val="001D0F2F"/>
    <w:rsid w:val="001F07EC"/>
    <w:rsid w:val="001F28A2"/>
    <w:rsid w:val="002236C3"/>
    <w:rsid w:val="002460A8"/>
    <w:rsid w:val="002A63B4"/>
    <w:rsid w:val="002D03FB"/>
    <w:rsid w:val="002D5C15"/>
    <w:rsid w:val="002D6AF6"/>
    <w:rsid w:val="00347A88"/>
    <w:rsid w:val="0035099D"/>
    <w:rsid w:val="00376943"/>
    <w:rsid w:val="003B362D"/>
    <w:rsid w:val="003B3D82"/>
    <w:rsid w:val="003E15EC"/>
    <w:rsid w:val="003F524D"/>
    <w:rsid w:val="00414903"/>
    <w:rsid w:val="00443D44"/>
    <w:rsid w:val="00451F0D"/>
    <w:rsid w:val="004851AC"/>
    <w:rsid w:val="00492236"/>
    <w:rsid w:val="004A0394"/>
    <w:rsid w:val="004E0AE2"/>
    <w:rsid w:val="004F1421"/>
    <w:rsid w:val="005858E5"/>
    <w:rsid w:val="00594376"/>
    <w:rsid w:val="006031EF"/>
    <w:rsid w:val="00603E56"/>
    <w:rsid w:val="00650ABA"/>
    <w:rsid w:val="006566E6"/>
    <w:rsid w:val="0069225F"/>
    <w:rsid w:val="007049D7"/>
    <w:rsid w:val="00711AC1"/>
    <w:rsid w:val="00720723"/>
    <w:rsid w:val="0072500B"/>
    <w:rsid w:val="00744B6E"/>
    <w:rsid w:val="00764968"/>
    <w:rsid w:val="007C0C4B"/>
    <w:rsid w:val="00816979"/>
    <w:rsid w:val="008678F9"/>
    <w:rsid w:val="0087005F"/>
    <w:rsid w:val="009231DE"/>
    <w:rsid w:val="00941BA1"/>
    <w:rsid w:val="009D616D"/>
    <w:rsid w:val="009F4512"/>
    <w:rsid w:val="00A07405"/>
    <w:rsid w:val="00A33246"/>
    <w:rsid w:val="00A54490"/>
    <w:rsid w:val="00A643FA"/>
    <w:rsid w:val="00A64FCF"/>
    <w:rsid w:val="00B50945"/>
    <w:rsid w:val="00B517D0"/>
    <w:rsid w:val="00B70D07"/>
    <w:rsid w:val="00B92702"/>
    <w:rsid w:val="00B97A54"/>
    <w:rsid w:val="00BB60EA"/>
    <w:rsid w:val="00C249FC"/>
    <w:rsid w:val="00CA1B87"/>
    <w:rsid w:val="00CB72EE"/>
    <w:rsid w:val="00CC1A71"/>
    <w:rsid w:val="00CD1A8B"/>
    <w:rsid w:val="00CE5D31"/>
    <w:rsid w:val="00D066B1"/>
    <w:rsid w:val="00D50C12"/>
    <w:rsid w:val="00D72951"/>
    <w:rsid w:val="00DB59EF"/>
    <w:rsid w:val="00E026FF"/>
    <w:rsid w:val="00E04D9E"/>
    <w:rsid w:val="00E13004"/>
    <w:rsid w:val="00E77CF1"/>
    <w:rsid w:val="00EB574D"/>
    <w:rsid w:val="00F03C61"/>
    <w:rsid w:val="00F75F6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8EDECC"/>
  <w15:docId w15:val="{2D3AA47B-916D-B144-91DB-5EFD05F8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font-claude-response-body">
    <w:name w:val="font-claude-response-body"/>
    <w:basedOn w:val="Normal"/>
    <w:rsid w:val="00603E56"/>
    <w:pPr>
      <w:spacing w:before="100" w:beforeAutospacing="1" w:after="100" w:afterAutospacing="1"/>
    </w:pPr>
    <w:rPr>
      <w:rFonts w:ascii="Times New Roman" w:eastAsia="Times New Roman" w:hAnsi="Times New Roman" w:cs="Times New Roman"/>
      <w:lang w:val="en-AU" w:eastAsia="en-GB"/>
    </w:rPr>
  </w:style>
  <w:style w:type="character" w:styleId="Emphasis">
    <w:name w:val="Emphasis"/>
    <w:basedOn w:val="DefaultParagraphFont"/>
    <w:uiPriority w:val="20"/>
    <w:qFormat/>
    <w:rsid w:val="001467DE"/>
    <w:rPr>
      <w:i/>
      <w:iCs/>
    </w:rPr>
  </w:style>
  <w:style w:type="paragraph" w:styleId="Footer">
    <w:name w:val="footer"/>
    <w:basedOn w:val="Normal"/>
    <w:link w:val="FooterChar"/>
    <w:rsid w:val="00162D40"/>
    <w:pPr>
      <w:tabs>
        <w:tab w:val="center" w:pos="4513"/>
        <w:tab w:val="right" w:pos="9026"/>
      </w:tabs>
      <w:spacing w:after="0"/>
    </w:pPr>
  </w:style>
  <w:style w:type="character" w:customStyle="1" w:styleId="FooterChar">
    <w:name w:val="Footer Char"/>
    <w:basedOn w:val="DefaultParagraphFont"/>
    <w:link w:val="Footer"/>
    <w:rsid w:val="00162D40"/>
  </w:style>
  <w:style w:type="character" w:styleId="PageNumber">
    <w:name w:val="page number"/>
    <w:basedOn w:val="DefaultParagraphFont"/>
    <w:rsid w:val="00162D40"/>
  </w:style>
  <w:style w:type="character" w:styleId="UnresolvedMention">
    <w:name w:val="Unresolved Mention"/>
    <w:basedOn w:val="DefaultParagraphFont"/>
    <w:uiPriority w:val="99"/>
    <w:semiHidden/>
    <w:unhideWhenUsed/>
    <w:rsid w:val="00764968"/>
    <w:rPr>
      <w:color w:val="605E5C"/>
      <w:shd w:val="clear" w:color="auto" w:fill="E1DFDD"/>
    </w:rPr>
  </w:style>
  <w:style w:type="character" w:customStyle="1" w:styleId="apple-converted-space">
    <w:name w:val="apple-converted-space"/>
    <w:basedOn w:val="DefaultParagraphFont"/>
    <w:rsid w:val="00E13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strom.org/support-structur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strom.org/art-skate-dot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ataportal.arc.gov.au/EI/NationalReport/2018/pages/introduction/index.html?id=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29935</Words>
  <Characters>170630</Characters>
  <Application>Microsoft Office Word</Application>
  <DocSecurity>0</DocSecurity>
  <Lines>1421</Lines>
  <Paragraphs>400</Paragraphs>
  <ScaleCrop>false</ScaleCrop>
  <Company/>
  <LinksUpToDate>false</LinksUpToDate>
  <CharactersWithSpaces>200165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Sanne Mestrom</dc:creator>
  <cp:keywords/>
  <cp:lastModifiedBy>Sanne Mestrom</cp:lastModifiedBy>
  <cp:revision>2</cp:revision>
  <dcterms:created xsi:type="dcterms:W3CDTF">2026-07-16T00:58:00Z</dcterms:created>
  <dcterms:modified xsi:type="dcterms:W3CDTF">2026-07-16T00:58:00Z</dcterms:modified>
</cp:coreProperties>
</file>